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15D" w:rsidRDefault="009C7685">
      <w:pPr>
        <w:widowControl/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Pielikums</w:t>
      </w:r>
    </w:p>
    <w:p w:rsidR="0005015D" w:rsidRDefault="009C7685">
      <w:pPr>
        <w:widowControl/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ZPRAP 17.05.2022. Lēmumam Nr.50., Prot Nr.12.</w:t>
      </w:r>
    </w:p>
    <w:p w:rsidR="0005015D" w:rsidRDefault="0005015D">
      <w:pPr>
        <w:widowControl/>
        <w:spacing w:after="0" w:line="36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05015D" w:rsidRDefault="009C7685">
      <w:pPr>
        <w:widowControl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Projekta idejas veidlapa</w:t>
      </w:r>
    </w:p>
    <w:tbl>
      <w:tblPr>
        <w:tblStyle w:val="a"/>
        <w:tblW w:w="9947" w:type="dxa"/>
        <w:tblInd w:w="-308" w:type="dxa"/>
        <w:tblLayout w:type="fixed"/>
        <w:tblLook w:val="0400" w:firstRow="0" w:lastRow="0" w:firstColumn="0" w:lastColumn="0" w:noHBand="0" w:noVBand="1"/>
      </w:tblPr>
      <w:tblGrid>
        <w:gridCol w:w="516"/>
        <w:gridCol w:w="4187"/>
        <w:gridCol w:w="5244"/>
      </w:tblGrid>
      <w:tr w:rsidR="0005015D">
        <w:trPr>
          <w:trHeight w:val="270"/>
        </w:trPr>
        <w:tc>
          <w:tcPr>
            <w:tcW w:w="516" w:type="dxa"/>
            <w:shd w:val="clear" w:color="auto" w:fill="auto"/>
            <w:vAlign w:val="bottom"/>
          </w:tcPr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87" w:type="dxa"/>
            <w:shd w:val="clear" w:color="auto" w:fill="auto"/>
            <w:vAlign w:val="bottom"/>
          </w:tcPr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bottom"/>
          </w:tcPr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015D">
        <w:trPr>
          <w:trHeight w:val="75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41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Ministrijas struktūrvienības, padotības iestādes, plānošanas reģiona un kapitālsabiedrības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kas iesniedz projekta ideju izskatīšanai IPIK,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nosaukums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Zemgales plānošanas reģions</w:t>
            </w:r>
          </w:p>
        </w:tc>
      </w:tr>
      <w:tr w:rsidR="0005015D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Projekta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nosaukums latviešu un angļu valodā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ja projekta valoda būs angļu valoda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Reliģiskais mantojums lauku teritorijās</w:t>
            </w:r>
          </w:p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highlight w:val="white"/>
              </w:rPr>
              <w:t xml:space="preserve">REliHE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Religious heritage in rural areas 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015D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Projekta statuss uz idejas iesniegšanas brīdi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(piemēram, uzsākta projekta izstrāde, izstrādāts tehniskais projekts, projekts sagatavots iesniegšanai otrajā atlases kārtā)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Uzsākta projekta izstrāde</w:t>
            </w:r>
          </w:p>
        </w:tc>
      </w:tr>
      <w:tr w:rsidR="0005015D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Programmas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/aktivitātes, kurā plānots pieteikt projektu,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pilns nosaukums latviešu un angļu valoda (ja attiecināms)</w:t>
            </w:r>
          </w:p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Datumi, no kura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līdz kuram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projektus var iesniegt programmā,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saite uz programmas tīmekļa vietni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 kur norādīti programmas līdzfinansējuma saņemšanas nosacījumi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INTERREG EUROPE programma 2021.-2027.gadam</w:t>
            </w:r>
          </w:p>
          <w:p w:rsidR="0005015D" w:rsidRDefault="009C768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INTERREG EUROPE programme 2021-2027</w:t>
            </w:r>
          </w:p>
          <w:p w:rsidR="0005015D" w:rsidRDefault="0005015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Pieteikumu iesniegšanas termiņš ir 2022. gada 31. maijam</w:t>
            </w:r>
          </w:p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/>
                  <w:color w:val="0000FF"/>
                  <w:u w:val="single"/>
                </w:rPr>
                <w:t>https://www.interregeurope.eu/next-call-for-pro</w:t>
              </w:r>
              <w:r>
                <w:rPr>
                  <w:rFonts w:ascii="Times New Roman" w:eastAsia="Times New Roman" w:hAnsi="Times New Roman"/>
                  <w:color w:val="0000FF"/>
                  <w:u w:val="single"/>
                </w:rPr>
                <w:t>jects</w:t>
              </w:r>
            </w:hyperlink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05015D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Īss projekta ietvaros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plānoto darbību apraksts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(mērķis, mērķa grupa, darbības un pasākumi, kas paredzēti projekta mērķa un mērķgrupas sasniegšanai)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u w:val="single"/>
              </w:rPr>
              <w:t>Projekta tēma: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Kopienas reliģiskais mantojums (baznīcas, klosteri, abatijas), kas atrodas lauku teritorijās.</w:t>
            </w:r>
          </w:p>
          <w:p w:rsidR="0005015D" w:rsidRDefault="0005015D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05015D" w:rsidRDefault="009C7685">
            <w:pPr>
              <w:widowControl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  <w:r>
              <w:rPr>
                <w:rFonts w:ascii="Times New Roman" w:eastAsia="Times New Roman" w:hAnsi="Times New Roman"/>
                <w:b/>
                <w:u w:val="single"/>
              </w:rPr>
              <w:t>Projekta un tā darbību pamatojums: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Reliģiskais mantojums (baznīcas, klosteri, abatijas) bieži atrodas laukos, kas var sniegt atbildi cilvēkiem, kuri meklē klusum</w:t>
            </w:r>
            <w:r>
              <w:rPr>
                <w:rFonts w:ascii="Times New Roman" w:eastAsia="Times New Roman" w:hAnsi="Times New Roman"/>
              </w:rPr>
              <w:t xml:space="preserve">u, mazāk zināmus galamērķus laukos un zaļajās teritorijās, ne tikai tūrisma mērķiem, bet arī kā </w:t>
            </w:r>
            <w:r>
              <w:rPr>
                <w:rFonts w:ascii="Times New Roman" w:eastAsia="Times New Roman" w:hAnsi="Times New Roman"/>
              </w:rPr>
              <w:lastRenderedPageBreak/>
              <w:t>vietu, kur attīstīt savu profesionālo darbību. Turklāt šis mantojums var kļūt arī par teritorijas attīstības virzītājspēku, piedāvājot bagātu vēsturi un mantoju</w:t>
            </w:r>
            <w:r>
              <w:rPr>
                <w:rFonts w:ascii="Times New Roman" w:eastAsia="Times New Roman" w:hAnsi="Times New Roman"/>
              </w:rPr>
              <w:t xml:space="preserve">mu, kā arī pievilinot apmeklētājus. Reliģiskā mantojuma izmantošana rada vairākus izaicinājumus, kas tiks arī skatīts projektā: 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Pārvaldības un sadarbības modelēšana starp reliģiskajām kopienām, ēku īpašniekiem un tiem, kas interesējas par to pārvaldību </w:t>
            </w:r>
            <w:r>
              <w:rPr>
                <w:rFonts w:ascii="Times New Roman" w:eastAsia="Times New Roman" w:hAnsi="Times New Roman"/>
              </w:rPr>
              <w:t xml:space="preserve"> sabiedriskiem vai komerciāliem mērķiem (tūrisma kompānijas, apmācības centri, vietējās kopienas)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Reliģiskās dzīves saderība ar citiem mērķiem, nodarbošanos 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Izvairīšanās no vēstures un kopienu vērtību zaudēšanas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Analīzes veikšanas iespējas, ierosino</w:t>
            </w:r>
            <w:r>
              <w:rPr>
                <w:rFonts w:ascii="Times New Roman" w:eastAsia="Times New Roman" w:hAnsi="Times New Roman"/>
              </w:rPr>
              <w:t>t teritoriju saglabāšanas plānus, pielāgošanos un ilgtermiņa uzturēšanu, kad objekts zaudē savu reliģisko funkciju, piemēram: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•</w:t>
            </w:r>
            <w:r>
              <w:rPr>
                <w:rFonts w:ascii="Times New Roman" w:eastAsia="Times New Roman" w:hAnsi="Times New Roman"/>
              </w:rPr>
              <w:tab/>
              <w:t>Atkārtota objekta izmantošana ar teritoriālo redzējumu (treniņu kompleksi, pasākumu norises vietas, u.c.)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•</w:t>
            </w:r>
            <w:r>
              <w:rPr>
                <w:rFonts w:ascii="Times New Roman" w:eastAsia="Times New Roman" w:hAnsi="Times New Roman"/>
              </w:rPr>
              <w:tab/>
              <w:t>Tūrisma vietas (dažā</w:t>
            </w:r>
            <w:r>
              <w:rPr>
                <w:rFonts w:ascii="Times New Roman" w:eastAsia="Times New Roman" w:hAnsi="Times New Roman"/>
              </w:rPr>
              <w:t>das mērķauditorijas analīze, saikne ar kultūras ceļiem)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•</w:t>
            </w:r>
            <w:r>
              <w:rPr>
                <w:rFonts w:ascii="Times New Roman" w:eastAsia="Times New Roman" w:hAnsi="Times New Roman"/>
              </w:rPr>
              <w:tab/>
              <w:t>Infrastruktūra vietējām kopienām (teritorijas vajadzību analīze un tās saderība ar objektu kultūras mantojuma vērtībām, nosakot iespējamos lietojumus)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•</w:t>
            </w:r>
            <w:r>
              <w:rPr>
                <w:rFonts w:ascii="Times New Roman" w:eastAsia="Times New Roman" w:hAnsi="Times New Roman"/>
              </w:rPr>
              <w:tab/>
              <w:t>Idejas pasākumu norisei (mūzikas festivālu, a</w:t>
            </w:r>
            <w:r>
              <w:rPr>
                <w:rFonts w:ascii="Times New Roman" w:eastAsia="Times New Roman" w:hAnsi="Times New Roman"/>
              </w:rPr>
              <w:t>ktivitātes bērniem, garīgās rekolekcijas)</w:t>
            </w:r>
          </w:p>
          <w:p w:rsidR="0005015D" w:rsidRDefault="009C768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•</w:t>
            </w:r>
            <w:r>
              <w:rPr>
                <w:rFonts w:ascii="Times New Roman" w:eastAsia="Times New Roman" w:hAnsi="Times New Roman"/>
              </w:rPr>
              <w:tab/>
              <w:t>Līdzdalība un iesaistīšanās lauku kopienu pārvaldībā.</w:t>
            </w:r>
          </w:p>
          <w:p w:rsidR="0005015D" w:rsidRDefault="0005015D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05015D" w:rsidRDefault="009C7685">
            <w:pPr>
              <w:widowControl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  <w:r>
              <w:rPr>
                <w:rFonts w:ascii="Times New Roman" w:eastAsia="Times New Roman" w:hAnsi="Times New Roman"/>
                <w:b/>
                <w:u w:val="single"/>
              </w:rPr>
              <w:t xml:space="preserve">Projekta mērķi: 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•  Politikas, plānu un noteikumu labās prakses apmaiņa reliģiskajā mantojuma jomā, to integrēšana partneru attīstības dokumentu un plānu uzl</w:t>
            </w:r>
            <w:r>
              <w:rPr>
                <w:rFonts w:ascii="Times New Roman" w:eastAsia="Times New Roman" w:hAnsi="Times New Roman"/>
              </w:rPr>
              <w:t xml:space="preserve">abošanā. 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•   Veicināt labo prakšu, veiksmīgo risinājumu apmaiņu reliģiskā mantojuma saglabāšanai, uzturēšanai un pārvaldībai, mantojuma integrēšanai teritorija attīstībā, īpašumtiesību jautājumos, kā arī kopienas iesaistē reliģiskā mantojuma atkārtotā izm</w:t>
            </w:r>
            <w:r>
              <w:rPr>
                <w:rFonts w:ascii="Times New Roman" w:eastAsia="Times New Roman" w:hAnsi="Times New Roman"/>
              </w:rPr>
              <w:t xml:space="preserve">antošanā un saglabāšanā.  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•  Apzināt, diagnosticēt un izvērtēt reliģiskā mantojuma nākotnes iespējas lauku apvidos, lai varētu īstenot stratēģiskos dzīvotspējas plānus, kas garantē mantojuma saglabāšanu, uzlabošanu un atkārtotu izmantošana kā vietējās att</w:t>
            </w:r>
            <w:r>
              <w:rPr>
                <w:rFonts w:ascii="Times New Roman" w:eastAsia="Times New Roman" w:hAnsi="Times New Roman"/>
              </w:rPr>
              <w:t>īstības katalizators.</w:t>
            </w:r>
          </w:p>
          <w:p w:rsidR="0005015D" w:rsidRDefault="0005015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05015D" w:rsidRDefault="009C768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  <w:r>
              <w:rPr>
                <w:rFonts w:ascii="Times New Roman" w:eastAsia="Times New Roman" w:hAnsi="Times New Roman"/>
                <w:b/>
                <w:u w:val="single"/>
              </w:rPr>
              <w:t xml:space="preserve">Projekta galvenās aktivitātes: 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Novērtēt un salīdzināt pašreizējos politikas instrumentus, kas saistīti ar teritorijā esošā reliģiskā mantojuma uzturēšanu un pārvaldību.  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Identificēt un pārskatīt iespējamos šķēršļus un virzītājspēkus reliģiskā mantojuma atkārtotai un jaunai izmantošanai.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Nepieciešamo risinājumu kartēšana, iespējas un ierobežojumi, ieviesto risinājumu identificēšana iesaistītajās valstīs/reģionos. Partneru a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ptauja. 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Identificēt rīkus un pasākumus reliģiskā mantojuma politikas un atbalsta sistēmas uzlabošanai.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Izstrādāt un īstenot kopīgas darbības, pamatojoties uz novērtēšanas un kartēšanas posma konstatējumiem. 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 tematisko semināru organizēšana.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 darba grup</w:t>
            </w:r>
            <w:r>
              <w:rPr>
                <w:rFonts w:ascii="Times New Roman" w:eastAsia="Times New Roman" w:hAnsi="Times New Roman"/>
                <w:color w:val="000000"/>
              </w:rPr>
              <w:t>u organizēšana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 mācību vizīšu organizēšana.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Reģionāla mēroga kampaņas organizēšana katrā partnera teritorijā projekta rezultātu plašai izplatīšanai (vietējo pasākumu organizēšana). 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6 ieinteresēto pušu sanāksmes katrā partnera teritorijā.  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video projek</w:t>
            </w:r>
            <w:r>
              <w:rPr>
                <w:rFonts w:ascii="Times New Roman" w:eastAsia="Times New Roman" w:hAnsi="Times New Roman"/>
                <w:color w:val="000000"/>
              </w:rPr>
              <w:t>ta izstrāde.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Tīmekļa vietnes un sociālo mediju uzturēšana.</w:t>
            </w:r>
          </w:p>
          <w:p w:rsidR="0005015D" w:rsidRDefault="009C768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Projekta brošūras izstrāde.</w:t>
            </w:r>
          </w:p>
          <w:p w:rsidR="0005015D" w:rsidRDefault="0005015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u w:val="single"/>
              </w:rPr>
              <w:t>Mērķa grupas, iesaistītās puses: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05015D" w:rsidRDefault="009C768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Zemgales pašvaldības, pašvaldību tūrisma, kultūras un ZPR speciālisti; </w:t>
            </w:r>
          </w:p>
          <w:p w:rsidR="0005015D" w:rsidRDefault="009C768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Iedzīvotāji, viesi, tūristi;</w:t>
            </w:r>
          </w:p>
          <w:p w:rsidR="0005015D" w:rsidRDefault="009C768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Kultūras ministrija, Nacionālā kultūras mantojuma pārvalde;</w:t>
            </w:r>
          </w:p>
          <w:p w:rsidR="0005015D" w:rsidRDefault="009C768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Latvijas lauksaimniecības universitāte;</w:t>
            </w:r>
          </w:p>
          <w:p w:rsidR="0005015D" w:rsidRDefault="009C768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Vietējās lauku kopienas, NVO, konfesiju pārstāvji;</w:t>
            </w:r>
          </w:p>
          <w:p w:rsidR="0005015D" w:rsidRDefault="009C768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Tūrisma uzņēmēji. </w:t>
            </w:r>
          </w:p>
          <w:p w:rsidR="0005015D" w:rsidRDefault="0005015D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015D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Īss projekta ietvaros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sasniedzamo rezultātu apraksts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(iekārtas, būves, infrastruktūra, rokasgrāmatas, filmas, pētniecības darbi u.tml.) 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Projekta rezultāti Zemgales plānošanas reģionā:</w:t>
            </w:r>
          </w:p>
          <w:p w:rsidR="0005015D" w:rsidRDefault="009C76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Pašreizējo politikas instrumentu, iespējamo šķēršļus un virzītājspēku novērtēšana un identificēšana,  nepieciešamo risinājumu kartēšana, iespēju un ierobežojumu, ieviesto risinājumu identificēšana iesaistītajās valstīs/reģionos reliģiskā mantojuma atkārt</w:t>
            </w:r>
            <w:r>
              <w:rPr>
                <w:rFonts w:ascii="Times New Roman" w:eastAsia="Times New Roman" w:hAnsi="Times New Roman"/>
                <w:color w:val="000000"/>
              </w:rPr>
              <w:t>otai un jaunai izmantošanai.</w:t>
            </w:r>
          </w:p>
          <w:p w:rsidR="0005015D" w:rsidRDefault="009C76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Izstrādāt vai precizēt Zemgales plānošanas reģiona Attīstības programmas apakš aktivitāšu uzlabošanu, </w:t>
            </w:r>
          </w:p>
          <w:p w:rsidR="0005015D" w:rsidRDefault="009C76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Reģionāla mēroga kampaņas organizēšana katrā partnera teritorijā projekta rezultātu plašai izplatīšanai (vietējo pasākum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u organizēšana). </w:t>
            </w:r>
          </w:p>
          <w:p w:rsidR="0005015D" w:rsidRDefault="009C76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- 6 ieinteresēto pušu sanāksmju organizēšana</w:t>
            </w:r>
          </w:p>
          <w:p w:rsidR="0005015D" w:rsidRDefault="009C76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tematiskā semināra, mācību vizītes organizēšana.</w:t>
            </w:r>
          </w:p>
          <w:p w:rsidR="0005015D" w:rsidRDefault="009C76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Publicitātes pasākumi. </w:t>
            </w:r>
          </w:p>
          <w:p w:rsidR="0005015D" w:rsidRDefault="009C768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Sadarbības stiprināšana ar nacionālā līmeņa iesaistītajām pusēm – KM, Nacionālā kultūras mantojuma pārvalde.</w:t>
            </w:r>
          </w:p>
          <w:p w:rsidR="0005015D" w:rsidRDefault="0005015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015D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Projekta sasaiste ar nozares politikas plānošanas dokumentiem un nozares politikas ieviešanu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(atsauces uz politikas plānošanas dokumentiem, normatīvajiem aktiem, vadlīnijām un tml.), t.sk.,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kā plānotie projekta rezultāti tiks izmantoti (varēs tikt izmantot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i) vai sekmēs nozares politikas ieviešanu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Projekts atbilst sekojošiem plānošanas dokumentiem:</w:t>
            </w:r>
          </w:p>
          <w:p w:rsidR="0005015D" w:rsidRDefault="000501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  <w:p w:rsidR="0005015D" w:rsidRDefault="009C7685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Zemgales plānošanas reģiona Attīstības Programmas 2021-2027,  3.prioritātei “Uzņēmumu izaugsme un konkurētspēja”, 7. prioritātei “Kultūrvide un indentitāte”, kā arī 8.prioritātei “Pilsoniska sabiedrība un aktīvas kopienas” </w:t>
            </w:r>
          </w:p>
          <w:p w:rsidR="0005015D" w:rsidRDefault="009C7685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Kultūrpolitikas pamatnostādnēm 2022.-2027. gadam "Kultūrvalsts".</w:t>
            </w:r>
          </w:p>
          <w:p w:rsidR="0005015D" w:rsidRDefault="000501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  <w:p w:rsidR="0005015D" w:rsidRDefault="009C768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u w:val="single"/>
              </w:rPr>
              <w:t>Projekta rezultāti: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Projekta gaitā iegūtos rezultātus un pieredzi varēs izmantot visas iesaistītās puses, pašvaldības, uzņēmēji savā nākotnes darbības plānošanā savās jomās. Projekta rezult</w:t>
            </w:r>
            <w:r>
              <w:rPr>
                <w:rFonts w:ascii="Times New Roman" w:eastAsia="Times New Roman" w:hAnsi="Times New Roman"/>
              </w:rPr>
              <w:t>ātā Zemgales plānošanas reģions precizēs un papildinās vai mainīs Reģionālās attīstības programmas (2021-2027) pasākumus un/vai apakšpasākumus.</w:t>
            </w:r>
          </w:p>
        </w:tc>
      </w:tr>
      <w:tr w:rsidR="0005015D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Projekta idejas iesniedzēja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ieguvums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īstenojot projektu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pamatojumu plānotajām darbībām, iegūstamās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zināšanas, tehniskais nodrošinājums u.tml.)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u w:val="single"/>
              </w:rPr>
              <w:t>Projekta rezultātā Zemgales plānošanas reģions: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Īstenojot projektu, Zemgales Plānošanas reģiona darbiniekiem būs iespēja paaugstināt savu kapacitāti tūrisma, kultūras un vietējo kopienu plānošanas jomā.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Projekta</w:t>
            </w:r>
            <w:r>
              <w:rPr>
                <w:rFonts w:ascii="Times New Roman" w:eastAsia="Times New Roman" w:hAnsi="Times New Roman"/>
              </w:rPr>
              <w:t xml:space="preserve"> rezultātā Zemgales plānošanas reģions precizēs un papildinās vai mainīs Reģionālās attīstības programmas (2021-2027) pasākumus un/vai apakšpasākumus, kā arī apkopos datus, pieredzi un labo praksi un stiprinās sadarbību ar Eiropas valstu reģioniem un iesai</w:t>
            </w:r>
            <w:r>
              <w:rPr>
                <w:rFonts w:ascii="Times New Roman" w:eastAsia="Times New Roman" w:hAnsi="Times New Roman"/>
              </w:rPr>
              <w:t xml:space="preserve">stītajām institūcijām šajā jomā. </w:t>
            </w:r>
          </w:p>
        </w:tc>
      </w:tr>
      <w:tr w:rsidR="0005015D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Projekta idejas sasaiste (t.sk., demarkācija, papildinātība) ar citiem uzsāktajiem vai īstenotiem projektiem attiecīgajā sfērā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(īss apraksts par to, kā piedāvātais projekts atšķiras vai papildina citus uzsāktos/īstenot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os projektus)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</w:rPr>
              <w:t xml:space="preserve">Projekta īstenošanas rezultātā Zemgales plānošanas reģions īstenotu Attīstības Programmas 2021-2027,  </w:t>
            </w:r>
            <w:r>
              <w:rPr>
                <w:rFonts w:ascii="Times New Roman" w:eastAsia="Times New Roman" w:hAnsi="Times New Roman"/>
                <w:b/>
              </w:rPr>
              <w:t>3.prioritātes</w:t>
            </w:r>
            <w:r>
              <w:rPr>
                <w:rFonts w:ascii="Times New Roman" w:eastAsia="Times New Roman" w:hAnsi="Times New Roman"/>
              </w:rPr>
              <w:t xml:space="preserve"> “Uzņēmumu izaugsme un konkurētspēja”,</w:t>
            </w:r>
            <w:r>
              <w:t xml:space="preserve"> 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rīcības virziena 3.6. ”Tūrisma produktu un pakalpojumu piedāvājuma un konkurētspējas ve</w:t>
            </w:r>
            <w:r>
              <w:rPr>
                <w:rFonts w:ascii="Times New Roman" w:eastAsia="Times New Roman" w:hAnsi="Times New Roman"/>
              </w:rPr>
              <w:t>icināšana”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rīcības 3.6.2. “Veicināt Zemgales tūrisma produktu un pakalpojumu dažādību un attīstību”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aktivitāti 3.6.2.2. “Veicināt Zemgalei raksturīgo kultūras tūrisma produktu veidošanu un attīstību - lauku, tradicionālā dzīves veida, tradicionālu prasmju,</w:t>
            </w:r>
            <w:r>
              <w:rPr>
                <w:rFonts w:ascii="Times New Roman" w:eastAsia="Times New Roman" w:hAnsi="Times New Roman"/>
              </w:rPr>
              <w:t xml:space="preserve"> kulinārijas, kultūrvēsturiskā nemateriālā un materiālā mantojuma, kultūrtelpu, pasākumu, u.c. attīstību, arī ārpus tradicionālās tūrisma sezonas.”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aktivitāti 3.6.2.7. “Veicināt tūrismā neizmantotu resursu, zudušo vērtību, mākslas vēstures, u.c. izmantošan</w:t>
            </w:r>
            <w:r>
              <w:rPr>
                <w:rFonts w:ascii="Times New Roman" w:eastAsia="Times New Roman" w:hAnsi="Times New Roman"/>
              </w:rPr>
              <w:t>u un attīstību, t.sk. veicināt valsts nozīmes kultūras pieminekļu un dabas pieminekļu pielāgošanu klimata pārmaiņu ietekmēm”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>7. prioritātes</w:t>
            </w:r>
            <w:r>
              <w:rPr>
                <w:rFonts w:ascii="Times New Roman" w:eastAsia="Times New Roman" w:hAnsi="Times New Roman"/>
              </w:rPr>
              <w:t xml:space="preserve"> “Kultūrvide un identitāte” 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rīcības virziena 7.1.“Kultūras mantojuma saglabāšana un ilgtspējīga izmatošana”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rīcības 7.1.1. “Veicināt kultūrvēsturiskā mantojuma saglabāšanu, atjaunošanu, ilgtspējīgu attīstību un izmantošanu, kvalitatīvas dzīves vides veidošanā un piederības stiprināšanai”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aktivitāti 7.1.1.2.; 7.1.1.3.; 7.1.1.6.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kā arī  </w:t>
            </w:r>
            <w:r>
              <w:rPr>
                <w:rFonts w:ascii="Times New Roman" w:eastAsia="Times New Roman" w:hAnsi="Times New Roman"/>
                <w:b/>
              </w:rPr>
              <w:t>8. prioritātes “</w:t>
            </w:r>
            <w:r>
              <w:rPr>
                <w:rFonts w:ascii="Times New Roman" w:eastAsia="Times New Roman" w:hAnsi="Times New Roman"/>
              </w:rPr>
              <w:t>Pilsoniska sabiedrība un aktīvas kopienas</w:t>
            </w:r>
            <w:r>
              <w:rPr>
                <w:rFonts w:ascii="Times New Roman" w:eastAsia="Times New Roman" w:hAnsi="Times New Roman"/>
                <w:b/>
              </w:rPr>
              <w:t>”</w:t>
            </w:r>
          </w:p>
          <w:p w:rsidR="0005015D" w:rsidRDefault="009C768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rīcības virzienu 8.1. “Saliedētas un pilsoniski aktīva sabiedrības veidošana” ar mērķi stiprināt piederības sajūtu Zemgales reģionam, savam novadam, savai kopienai, iesaistot dažādu pasākumu aktivitātēs atšķirīgas</w:t>
            </w:r>
            <w:r>
              <w:rPr>
                <w:rFonts w:ascii="Times New Roman" w:eastAsia="Times New Roman" w:hAnsi="Times New Roman"/>
              </w:rPr>
              <w:t xml:space="preserve"> iedzīvotāju grupas.</w:t>
            </w:r>
          </w:p>
          <w:p w:rsidR="0005015D" w:rsidRDefault="009C7685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Līdzīga mērķa projekta ieviešanā reģionam nav bijis. </w:t>
            </w:r>
          </w:p>
        </w:tc>
      </w:tr>
      <w:tr w:rsidR="0005015D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Projekta idejas iesniedzēja funkcija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kas tiek nodrošināta,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un kapacitāte,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īstenojot projektu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Zemgales plānošanas reģions nodrošinās Reģionālās attīstības likumā noteikto funkciju: Izstrādāt un īstenot projektus reģionālās attīstības atbalsta pasākumu ietvaros. </w:t>
            </w:r>
          </w:p>
          <w:p w:rsidR="0005015D" w:rsidRDefault="009C7685">
            <w:pPr>
              <w:widowControl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Projektā plānotās aktivitātes palīdzēs sasniegt Zemgales plānošanas reģiona attīstības </w:t>
            </w:r>
            <w:r>
              <w:rPr>
                <w:rFonts w:ascii="Times New Roman" w:eastAsia="Times New Roman" w:hAnsi="Times New Roman"/>
              </w:rPr>
              <w:t>programmā</w:t>
            </w:r>
          </w:p>
          <w:p w:rsidR="0005015D" w:rsidRDefault="009C7685">
            <w:pPr>
              <w:widowControl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nospraustos mērķus. 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015D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Projekta ietvaros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plānotā sadarbība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(norādīt informāciju, vai projekta idejas iesniedzējs ir vadošais vai sadarbības partneris projekta īstenošanā)/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projekta partneri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un to loma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Vadošais partneris: Aragonas reģionālā pārvalde, </w:t>
            </w:r>
          </w:p>
          <w:p w:rsidR="0005015D" w:rsidRDefault="009C7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Izglītības, kultūras un sporta departaments, Spānija </w:t>
            </w:r>
          </w:p>
          <w:p w:rsidR="0005015D" w:rsidRDefault="009C7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Partneri – </w:t>
            </w:r>
          </w:p>
          <w:p w:rsidR="0005015D" w:rsidRDefault="009C7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Zemgales plānošanas reģions, Latvija,</w:t>
            </w:r>
          </w:p>
          <w:p w:rsidR="0005015D" w:rsidRDefault="009C7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Dienvidbohēmijas Reģionālās attīstības aģentūra, Čehija. </w:t>
            </w:r>
          </w:p>
          <w:p w:rsidR="0005015D" w:rsidRDefault="009C7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Kujāvijas-Pomožes reģions, Polija. </w:t>
            </w:r>
          </w:p>
          <w:p w:rsidR="0005015D" w:rsidRDefault="009C7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Balihora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s attīstības aģentūra, Īrija. </w:t>
            </w:r>
          </w:p>
          <w:p w:rsidR="0005015D" w:rsidRDefault="009C7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Turīnas politehniskā universitāte, Itālija. </w:t>
            </w:r>
          </w:p>
          <w:p w:rsidR="0005015D" w:rsidRDefault="009C7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Un citi</w:t>
            </w:r>
          </w:p>
        </w:tc>
      </w:tr>
      <w:tr w:rsidR="0005015D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Finansējuma avots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(fonds)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INTERREG EUROPE programma 2021.-2027.gadam</w:t>
            </w:r>
          </w:p>
        </w:tc>
      </w:tr>
      <w:tr w:rsidR="0005015D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41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Projekta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kopējais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indikatīvais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finansējums (EUR)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(programmas līdzfinansējums plus pašu līdzfinansējuma daļa), no tā:</w:t>
            </w:r>
          </w:p>
        </w:tc>
        <w:tc>
          <w:tcPr>
            <w:tcW w:w="5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1,650,000</w:t>
            </w:r>
          </w:p>
        </w:tc>
      </w:tr>
      <w:tr w:rsidR="0005015D">
        <w:trPr>
          <w:trHeight w:val="510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0501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Projekta idejas iesniedzēja budžeta daļas kopsumma projektā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(EUR), no tā: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200,000</w:t>
            </w:r>
          </w:p>
        </w:tc>
      </w:tr>
      <w:tr w:rsidR="0005015D">
        <w:trPr>
          <w:trHeight w:val="456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0501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Programmas līdzfinansējuma daļa (EUR)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22222"/>
                <w:highlight w:val="white"/>
              </w:rPr>
              <w:t>160,000</w:t>
            </w:r>
          </w:p>
        </w:tc>
      </w:tr>
      <w:tr w:rsidR="0005015D">
        <w:trPr>
          <w:trHeight w:val="406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0501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Pašu līdzfinansējuma daļa (EUR)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22222"/>
                <w:highlight w:val="white"/>
              </w:rPr>
              <w:t>40,000</w:t>
            </w:r>
          </w:p>
        </w:tc>
      </w:tr>
      <w:tr w:rsidR="0005015D">
        <w:trPr>
          <w:trHeight w:val="659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0501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No pašu līdzfinansējuma daļas nepieciešamais valsts budžeta līdzfinansējums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(EUR)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22222"/>
                <w:highlight w:val="white"/>
              </w:rPr>
              <w:t>40,000</w:t>
            </w:r>
          </w:p>
        </w:tc>
      </w:tr>
      <w:tr w:rsidR="0005015D">
        <w:trPr>
          <w:trHeight w:val="525"/>
        </w:trPr>
        <w:tc>
          <w:tcPr>
            <w:tcW w:w="51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No valsts budžeta nepieciešamā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dotācija projekta priekšfinansējuma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nodrošināšanai (EUR)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200,000</w:t>
            </w:r>
          </w:p>
        </w:tc>
      </w:tr>
      <w:tr w:rsidR="0005015D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Indikatīvais projekta ī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stenošanas laiks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(no - līdz)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2023.gada februāris – 2027.gada janvāris (4 gadi)</w:t>
            </w:r>
          </w:p>
          <w:p w:rsidR="0005015D" w:rsidRDefault="0005015D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</w:p>
        </w:tc>
      </w:tr>
      <w:tr w:rsidR="0005015D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015D" w:rsidRDefault="009C7685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Papildus izmaksas projekta rezultātu uzturēšana neprasa.</w:t>
            </w:r>
          </w:p>
        </w:tc>
      </w:tr>
    </w:tbl>
    <w:p w:rsidR="0005015D" w:rsidRDefault="0005015D">
      <w:pPr>
        <w:widowControl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05015D" w:rsidRDefault="009C7685">
      <w:pPr>
        <w:widowControl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ZPR izpilddirektors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V. VEIPS</w:t>
      </w:r>
    </w:p>
    <w:p w:rsidR="0005015D" w:rsidRDefault="0005015D">
      <w:pPr>
        <w:widowControl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bookmarkStart w:id="1" w:name="_heading=h.gjdgxs" w:colFirst="0" w:colLast="0"/>
      <w:bookmarkEnd w:id="1"/>
    </w:p>
    <w:sectPr w:rsidR="0005015D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11F87"/>
    <w:multiLevelType w:val="multilevel"/>
    <w:tmpl w:val="74D44D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30342CF"/>
    <w:multiLevelType w:val="multilevel"/>
    <w:tmpl w:val="78280E3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66F545A"/>
    <w:multiLevelType w:val="multilevel"/>
    <w:tmpl w:val="76808220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15D"/>
    <w:rsid w:val="0005015D"/>
    <w:rsid w:val="009C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567B1-E105-4E3C-ABF4-7105AEF0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0C4"/>
    <w:rPr>
      <w:rFonts w:cs="Times New Roman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032CEE"/>
    <w:rPr>
      <w:color w:val="0000FF"/>
      <w:u w:val="single"/>
    </w:rPr>
  </w:style>
  <w:style w:type="paragraph" w:styleId="ListParagraph">
    <w:name w:val="List Paragraph"/>
    <w:aliases w:val="1st level - Bullet List Paragraph,Paragrafo elenco,List Paragraph1,List Paragraph11,Lettre d'introduction,Medium Grid 1 - Accent 21,Normal bullet 2,Bullet list,Numbered List,Paragraphe de liste 2,Reference list,Paragraph,Bullet EY,2"/>
    <w:basedOn w:val="Normal"/>
    <w:link w:val="ListParagraphChar"/>
    <w:uiPriority w:val="34"/>
    <w:qFormat/>
    <w:rsid w:val="00B7487F"/>
    <w:pPr>
      <w:widowControl/>
      <w:spacing w:after="120" w:line="240" w:lineRule="auto"/>
      <w:ind w:left="720"/>
      <w:contextualSpacing/>
    </w:pPr>
    <w:rPr>
      <w:rFonts w:eastAsia="Times New Roman"/>
      <w:lang w:val="nb-NO"/>
    </w:rPr>
  </w:style>
  <w:style w:type="character" w:customStyle="1" w:styleId="ListParagraphChar">
    <w:name w:val="List Paragraph Char"/>
    <w:aliases w:val="1st level - Bullet List Paragraph Char,Paragrafo elenco Char,List Paragraph1 Char,List Paragraph11 Char,Lettre d'introduction Char,Medium Grid 1 - Accent 21 Char,Normal bullet 2 Char,Bullet list Char,Numbered List Char,Paragraph Char"/>
    <w:link w:val="ListParagraph"/>
    <w:uiPriority w:val="34"/>
    <w:qFormat/>
    <w:locked/>
    <w:rsid w:val="00B7487F"/>
    <w:rPr>
      <w:rFonts w:ascii="Calibri" w:eastAsia="Times New Roman" w:hAnsi="Calibri" w:cs="Times New Roman"/>
      <w:lang w:val="nb-N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60EE"/>
    <w:rPr>
      <w:color w:val="605E5C"/>
      <w:shd w:val="clear" w:color="auto" w:fill="E1DFDD"/>
    </w:rPr>
  </w:style>
  <w:style w:type="paragraph" w:customStyle="1" w:styleId="Default">
    <w:name w:val="Default"/>
    <w:rsid w:val="00B11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A46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6CE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46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6CE"/>
    <w:rPr>
      <w:rFonts w:ascii="Calibri" w:eastAsia="Calibri" w:hAnsi="Calibri" w:cs="Times New Roman"/>
      <w:lang w:val="en-US"/>
    </w:rPr>
  </w:style>
  <w:style w:type="paragraph" w:styleId="NoSpacing">
    <w:name w:val="No Spacing"/>
    <w:uiPriority w:val="1"/>
    <w:qFormat/>
    <w:rsid w:val="007C7964"/>
    <w:pPr>
      <w:spacing w:after="0" w:line="240" w:lineRule="auto"/>
    </w:pPr>
    <w:rPr>
      <w:rFonts w:cs="Times New Roman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7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68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terregeurope.eu/next-call-for-projec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+I/5opqvMl3TIgItXg3NtCt3/A==">AMUW2mUj211OcjgG4mlRMWio5mCIO7gVJ/G9ezP/w/oGdPSh9g8l1li4y3mLDoWJbMqn3xhxiP6bxRLye2Ubdq5fBrF5j6vfEABdH6o6B9d3kQkhs361ATLL/TtC/sNoaiuv5FqDLIKi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7182</Words>
  <Characters>4095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Ineta Tauriņa</dc:creator>
  <cp:lastModifiedBy>User</cp:lastModifiedBy>
  <cp:revision>2</cp:revision>
  <cp:lastPrinted>2022-06-07T12:27:00Z</cp:lastPrinted>
  <dcterms:created xsi:type="dcterms:W3CDTF">2022-06-07T12:27:00Z</dcterms:created>
  <dcterms:modified xsi:type="dcterms:W3CDTF">2022-06-07T12:27:00Z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0x010100716E36540477DB4190885667A748E510</vt:lpwstr>
  </property>
</Properties>
</file>