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A14723" w:rsidP="00FB0ADE">
      <w:pPr>
        <w:tabs>
          <w:tab w:val="left" w:pos="709"/>
        </w:tabs>
        <w:jc w:val="center"/>
      </w:pPr>
      <w:proofErr w:type="spellStart"/>
      <w:r>
        <w:t>Jēkabpils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A14723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A14723">
        <w:rPr>
          <w:bCs/>
          <w:iCs/>
          <w:szCs w:val="24"/>
        </w:rPr>
        <w:t>2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1C78DB">
        <w:rPr>
          <w:sz w:val="22"/>
        </w:rPr>
        <w:t>5</w:t>
      </w:r>
      <w:r w:rsidR="003D4AB0">
        <w:rPr>
          <w:sz w:val="22"/>
        </w:rPr>
        <w:t>9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14723">
        <w:rPr>
          <w:sz w:val="22"/>
        </w:rPr>
        <w:t>3</w:t>
      </w:r>
      <w:r w:rsidRPr="0097432E">
        <w:rPr>
          <w:sz w:val="22"/>
        </w:rPr>
        <w:t>.</w:t>
      </w:r>
    </w:p>
    <w:p w:rsidR="003D4AB0" w:rsidRPr="002D2C44" w:rsidRDefault="003D4AB0" w:rsidP="003D4AB0">
      <w:pPr>
        <w:pStyle w:val="Heading2"/>
        <w:tabs>
          <w:tab w:val="left" w:pos="171"/>
          <w:tab w:val="left" w:pos="8607"/>
        </w:tabs>
        <w:ind w:left="171" w:right="237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2D2C44">
        <w:rPr>
          <w:rFonts w:ascii="Times New Roman" w:hAnsi="Times New Roman" w:cs="Times New Roman"/>
          <w:bCs w:val="0"/>
          <w:i w:val="0"/>
          <w:sz w:val="24"/>
          <w:szCs w:val="24"/>
        </w:rPr>
        <w:t>P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ar grozījumiem Zemgales plānošanas reģiona Darba samaksas nolikumā</w:t>
      </w:r>
      <w:r w:rsidRPr="002D2C44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</w:t>
      </w:r>
    </w:p>
    <w:p w:rsidR="003D4AB0" w:rsidRPr="00D96952" w:rsidRDefault="003D4AB0" w:rsidP="003D4AB0">
      <w:pPr>
        <w:pStyle w:val="Heading2"/>
        <w:tabs>
          <w:tab w:val="left" w:pos="171"/>
          <w:tab w:val="left" w:pos="8607"/>
        </w:tabs>
        <w:spacing w:after="120"/>
        <w:ind w:left="171" w:right="237" w:firstLine="561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Sakarā ar </w:t>
      </w:r>
      <w:r w:rsidRPr="00D9695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grozījumiem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01.12.2009. </w:t>
      </w:r>
      <w:r w:rsidRPr="00D9695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Valsts un pašvaldību institūciju amatpersonu un darbinieku atlīdzības likumā, grozījumiem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30.11.2010. Ministru kabineta noteikumos Nr.1075 “V</w:t>
      </w:r>
      <w:r w:rsidRPr="00D96952">
        <w:rPr>
          <w:rFonts w:ascii="Times New Roman" w:hAnsi="Times New Roman" w:cs="Times New Roman"/>
          <w:b w:val="0"/>
          <w:i w:val="0"/>
          <w:sz w:val="24"/>
          <w:szCs w:val="24"/>
        </w:rPr>
        <w:t>alsts un pašvaldību institūciju amatu katalog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s” un saskaņā ar Zemgales plānošanas reģiona nolikuma 25.16. punktu,</w:t>
      </w:r>
      <w:r w:rsidRPr="00AB2B0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Zemgales plānošanas reģiona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a</w:t>
      </w:r>
      <w:r w:rsidRPr="00AB2B06">
        <w:rPr>
          <w:rFonts w:ascii="Times New Roman" w:hAnsi="Times New Roman" w:cs="Times New Roman"/>
          <w:b w:val="0"/>
          <w:i w:val="0"/>
          <w:sz w:val="24"/>
          <w:szCs w:val="24"/>
        </w:rPr>
        <w:t>ttīstības padome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D96952">
        <w:rPr>
          <w:rFonts w:ascii="Times New Roman" w:hAnsi="Times New Roman" w:cs="Times New Roman"/>
          <w:i w:val="0"/>
          <w:sz w:val="24"/>
          <w:szCs w:val="24"/>
        </w:rPr>
        <w:t>n o l e m j:</w:t>
      </w:r>
    </w:p>
    <w:p w:rsidR="003D4AB0" w:rsidRDefault="003D4AB0" w:rsidP="003D4AB0">
      <w:pPr>
        <w:pStyle w:val="Heading2"/>
        <w:numPr>
          <w:ilvl w:val="0"/>
          <w:numId w:val="19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5D3EBB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Apstiprināt 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sekojošus grozījumus Zemgales plānošanas reģiona Darba samaksas nolikumā, turpmāk tekstā saukts Nolikums:</w:t>
      </w:r>
    </w:p>
    <w:p w:rsidR="003D4AB0" w:rsidRDefault="003D4AB0" w:rsidP="003D4AB0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1.1.Izteikt Nolikuma 6. Punktu sekojošā redakcijā:</w:t>
      </w:r>
    </w:p>
    <w:p w:rsidR="003D4AB0" w:rsidRPr="00D96952" w:rsidRDefault="003D4AB0" w:rsidP="003D4AB0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i/>
        </w:rPr>
      </w:pPr>
      <w:r w:rsidRPr="00D96952">
        <w:rPr>
          <w:i/>
        </w:rPr>
        <w:t>„</w:t>
      </w:r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Novērtējumu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uzsāk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ar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Zemgales</w:t>
      </w:r>
      <w:proofErr w:type="spellEnd"/>
      <w:r w:rsidRPr="00D96952">
        <w:rPr>
          <w:bCs/>
          <w:i/>
        </w:rPr>
        <w:t xml:space="preserve"> plānošanas </w:t>
      </w:r>
      <w:proofErr w:type="spellStart"/>
      <w:r w:rsidRPr="00D96952">
        <w:rPr>
          <w:bCs/>
          <w:i/>
        </w:rPr>
        <w:t>reģiona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attīstības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padomes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priekšsēdētāja</w:t>
      </w:r>
      <w:proofErr w:type="spellEnd"/>
      <w:r w:rsidRPr="00D96952">
        <w:rPr>
          <w:bCs/>
          <w:i/>
        </w:rPr>
        <w:t xml:space="preserve"> (</w:t>
      </w:r>
      <w:proofErr w:type="spellStart"/>
      <w:r w:rsidRPr="00D96952">
        <w:rPr>
          <w:bCs/>
          <w:i/>
        </w:rPr>
        <w:t>turpmāk</w:t>
      </w:r>
      <w:proofErr w:type="spellEnd"/>
      <w:r w:rsidRPr="00D96952">
        <w:rPr>
          <w:bCs/>
          <w:i/>
        </w:rPr>
        <w:t xml:space="preserve"> - </w:t>
      </w:r>
      <w:proofErr w:type="spellStart"/>
      <w:r w:rsidRPr="00D96952">
        <w:rPr>
          <w:bCs/>
          <w:i/>
        </w:rPr>
        <w:t>Padomes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priekšsēdētājs</w:t>
      </w:r>
      <w:proofErr w:type="spellEnd"/>
      <w:r w:rsidRPr="00D96952">
        <w:rPr>
          <w:bCs/>
          <w:i/>
        </w:rPr>
        <w:t xml:space="preserve">) </w:t>
      </w:r>
      <w:proofErr w:type="spellStart"/>
      <w:r w:rsidRPr="00D96952">
        <w:rPr>
          <w:bCs/>
          <w:i/>
        </w:rPr>
        <w:t>rīkojumu</w:t>
      </w:r>
      <w:proofErr w:type="spellEnd"/>
      <w:r w:rsidRPr="00D96952">
        <w:rPr>
          <w:bCs/>
          <w:i/>
        </w:rPr>
        <w:t xml:space="preserve"> un </w:t>
      </w:r>
      <w:proofErr w:type="spellStart"/>
      <w:r w:rsidRPr="00D96952">
        <w:rPr>
          <w:bCs/>
          <w:i/>
        </w:rPr>
        <w:t>veic</w:t>
      </w:r>
      <w:proofErr w:type="spellEnd"/>
      <w:r w:rsidRPr="00D96952">
        <w:rPr>
          <w:bCs/>
          <w:i/>
        </w:rPr>
        <w:t xml:space="preserve"> L</w:t>
      </w:r>
      <w:r>
        <w:rPr>
          <w:bCs/>
          <w:i/>
        </w:rPr>
        <w:t xml:space="preserve">atvijas </w:t>
      </w:r>
      <w:proofErr w:type="spellStart"/>
      <w:r w:rsidRPr="00D96952">
        <w:rPr>
          <w:bCs/>
          <w:i/>
        </w:rPr>
        <w:t>R</w:t>
      </w:r>
      <w:r>
        <w:rPr>
          <w:bCs/>
          <w:i/>
        </w:rPr>
        <w:t>epublikas</w:t>
      </w:r>
      <w:proofErr w:type="spellEnd"/>
      <w:r w:rsidRPr="00D96952">
        <w:rPr>
          <w:bCs/>
          <w:i/>
        </w:rPr>
        <w:t xml:space="preserve"> </w:t>
      </w:r>
      <w:r>
        <w:rPr>
          <w:bCs/>
          <w:i/>
        </w:rPr>
        <w:t>(</w:t>
      </w:r>
      <w:proofErr w:type="spellStart"/>
      <w:r>
        <w:rPr>
          <w:bCs/>
          <w:i/>
        </w:rPr>
        <w:t>turpmāk</w:t>
      </w:r>
      <w:proofErr w:type="spellEnd"/>
      <w:r>
        <w:rPr>
          <w:bCs/>
          <w:i/>
        </w:rPr>
        <w:t xml:space="preserve"> - LR) </w:t>
      </w:r>
      <w:proofErr w:type="spellStart"/>
      <w:r w:rsidRPr="00D96952">
        <w:rPr>
          <w:bCs/>
          <w:i/>
        </w:rPr>
        <w:t>normatīvajos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aktos</w:t>
      </w:r>
      <w:proofErr w:type="spellEnd"/>
      <w:r w:rsidRPr="00D96952">
        <w:rPr>
          <w:bCs/>
          <w:i/>
        </w:rPr>
        <w:t xml:space="preserve"> un </w:t>
      </w:r>
      <w:proofErr w:type="spellStart"/>
      <w:r>
        <w:rPr>
          <w:bCs/>
          <w:i/>
        </w:rPr>
        <w:t>P</w:t>
      </w:r>
      <w:r w:rsidRPr="00D96952">
        <w:rPr>
          <w:bCs/>
          <w:i/>
        </w:rPr>
        <w:t>adomes</w:t>
      </w:r>
      <w:proofErr w:type="spellEnd"/>
      <w:r w:rsidRPr="00D96952">
        <w:rPr>
          <w:bCs/>
          <w:i/>
        </w:rPr>
        <w:t xml:space="preserve"> </w:t>
      </w:r>
      <w:proofErr w:type="spellStart"/>
      <w:proofErr w:type="gramStart"/>
      <w:r w:rsidRPr="00D96952">
        <w:rPr>
          <w:bCs/>
          <w:i/>
        </w:rPr>
        <w:t>priekšsēdētāja</w:t>
      </w:r>
      <w:proofErr w:type="spellEnd"/>
      <w:r w:rsidRPr="00D96952">
        <w:rPr>
          <w:bCs/>
          <w:i/>
        </w:rPr>
        <w:t xml:space="preserve">  </w:t>
      </w:r>
      <w:proofErr w:type="spellStart"/>
      <w:r w:rsidRPr="00D96952">
        <w:rPr>
          <w:bCs/>
          <w:i/>
        </w:rPr>
        <w:t>rīkojumā</w:t>
      </w:r>
      <w:proofErr w:type="spellEnd"/>
      <w:proofErr w:type="gram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noteiktā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kārtībā</w:t>
      </w:r>
      <w:proofErr w:type="spellEnd"/>
      <w:r w:rsidRPr="00D96952">
        <w:rPr>
          <w:bCs/>
          <w:i/>
        </w:rPr>
        <w:t>.</w:t>
      </w:r>
      <w:r>
        <w:rPr>
          <w:bCs/>
          <w:i/>
        </w:rPr>
        <w:t xml:space="preserve"> </w:t>
      </w:r>
      <w:proofErr w:type="spellStart"/>
      <w:r>
        <w:rPr>
          <w:bCs/>
          <w:i/>
        </w:rPr>
        <w:t>Novērtēšana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tiek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veikta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vienu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reizi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gadā</w:t>
      </w:r>
      <w:proofErr w:type="spellEnd"/>
      <w:r>
        <w:rPr>
          <w:bCs/>
          <w:i/>
        </w:rPr>
        <w:t>”</w:t>
      </w:r>
    </w:p>
    <w:p w:rsidR="003D4AB0" w:rsidRDefault="003D4AB0" w:rsidP="003D4AB0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1.2. Svītrot Nolikuma 7.punktā vārdus „ </w:t>
      </w:r>
      <w:r w:rsidRPr="00D96952">
        <w:rPr>
          <w:rFonts w:ascii="Times New Roman" w:hAnsi="Times New Roman" w:cs="Times New Roman"/>
          <w:b w:val="0"/>
          <w:bCs w:val="0"/>
          <w:sz w:val="24"/>
          <w:szCs w:val="24"/>
        </w:rPr>
        <w:t>un ierobežojumiem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.“ un iztei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kt 7. punktu sekojošā redakcijā: </w:t>
      </w:r>
    </w:p>
    <w:p w:rsidR="003D4AB0" w:rsidRPr="00D96952" w:rsidRDefault="003D4AB0" w:rsidP="003D4AB0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i/>
        </w:rPr>
      </w:pPr>
      <w:r>
        <w:rPr>
          <w:bCs/>
          <w:i/>
        </w:rPr>
        <w:t>“</w:t>
      </w:r>
      <w:proofErr w:type="spellStart"/>
      <w:r>
        <w:rPr>
          <w:bCs/>
          <w:i/>
        </w:rPr>
        <w:t>Pamatojoties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uz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veikto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N</w:t>
      </w:r>
      <w:r w:rsidRPr="00D96952">
        <w:rPr>
          <w:bCs/>
          <w:i/>
        </w:rPr>
        <w:t>ovērtējumu</w:t>
      </w:r>
      <w:proofErr w:type="spellEnd"/>
      <w:r w:rsidRPr="00D96952">
        <w:rPr>
          <w:bCs/>
          <w:i/>
        </w:rPr>
        <w:t xml:space="preserve">, </w:t>
      </w:r>
      <w:proofErr w:type="spellStart"/>
      <w:r w:rsidRPr="00D96952">
        <w:rPr>
          <w:bCs/>
          <w:i/>
        </w:rPr>
        <w:t>saskaņā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ar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Nolikuma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noteikumiem</w:t>
      </w:r>
      <w:proofErr w:type="spellEnd"/>
      <w:r w:rsidRPr="00D96952">
        <w:rPr>
          <w:bCs/>
          <w:i/>
        </w:rPr>
        <w:t xml:space="preserve">, </w:t>
      </w:r>
      <w:proofErr w:type="spellStart"/>
      <w:r w:rsidRPr="00D96952">
        <w:rPr>
          <w:bCs/>
          <w:i/>
        </w:rPr>
        <w:t>Izpilddirektoram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ir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tiesības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ar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rīkojumu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noteikt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attiecīgas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izmaiņas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Darbinieka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mēnešalgas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apmērā</w:t>
      </w:r>
      <w:proofErr w:type="spellEnd"/>
      <w:r w:rsidRPr="00D96952">
        <w:rPr>
          <w:bCs/>
          <w:i/>
        </w:rPr>
        <w:t>.</w:t>
      </w:r>
      <w:r>
        <w:rPr>
          <w:bCs/>
          <w:i/>
        </w:rPr>
        <w:t>”</w:t>
      </w:r>
    </w:p>
    <w:p w:rsidR="003D4AB0" w:rsidRPr="00AA3972" w:rsidRDefault="003D4AB0" w:rsidP="003D4AB0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BB78CB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1.</w:t>
      </w:r>
      <w:r w:rsidRPr="00AA397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3. Svītrot Nolikuma 8. punktā vārdus “.. </w:t>
      </w:r>
      <w:r w:rsidRPr="00AA3972">
        <w:rPr>
          <w:rFonts w:ascii="Times New Roman" w:hAnsi="Times New Roman" w:cs="Times New Roman"/>
          <w:b w:val="0"/>
          <w:sz w:val="24"/>
          <w:szCs w:val="24"/>
        </w:rPr>
        <w:t>minimālās un</w:t>
      </w:r>
      <w:r w:rsidRPr="00AA3972">
        <w:rPr>
          <w:rFonts w:ascii="Times New Roman" w:hAnsi="Times New Roman" w:cs="Times New Roman"/>
          <w:b w:val="0"/>
          <w:i w:val="0"/>
          <w:sz w:val="24"/>
          <w:szCs w:val="24"/>
        </w:rPr>
        <w:t>..” un izteikt 8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Pr="00AA397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punktu sekojošā redakcijā: </w:t>
      </w:r>
    </w:p>
    <w:p w:rsidR="003D4AB0" w:rsidRPr="00D96952" w:rsidRDefault="003D4AB0" w:rsidP="003D4AB0">
      <w:pPr>
        <w:numPr>
          <w:ilvl w:val="0"/>
          <w:numId w:val="20"/>
        </w:numPr>
        <w:autoSpaceDE w:val="0"/>
        <w:autoSpaceDN w:val="0"/>
        <w:adjustRightInd w:val="0"/>
        <w:ind w:left="567"/>
        <w:jc w:val="both"/>
        <w:rPr>
          <w:bCs/>
          <w:i/>
        </w:rPr>
      </w:pPr>
      <w:r w:rsidRPr="00D96952">
        <w:rPr>
          <w:bCs/>
          <w:i/>
        </w:rPr>
        <w:t>“</w:t>
      </w:r>
      <w:proofErr w:type="spellStart"/>
      <w:r w:rsidRPr="00D96952">
        <w:rPr>
          <w:bCs/>
          <w:i/>
        </w:rPr>
        <w:t>Izpilddirektoram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Novērtējums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netiek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veikts</w:t>
      </w:r>
      <w:proofErr w:type="spellEnd"/>
      <w:r w:rsidRPr="00D96952">
        <w:rPr>
          <w:bCs/>
          <w:i/>
        </w:rPr>
        <w:t xml:space="preserve"> un </w:t>
      </w:r>
      <w:proofErr w:type="spellStart"/>
      <w:r w:rsidRPr="00D96952">
        <w:rPr>
          <w:bCs/>
          <w:i/>
        </w:rPr>
        <w:t>mēnešalgu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ar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lēmumu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nosaka</w:t>
      </w:r>
      <w:proofErr w:type="spellEnd"/>
      <w:r w:rsidRPr="00D96952">
        <w:rPr>
          <w:bCs/>
          <w:i/>
        </w:rPr>
        <w:t xml:space="preserve"> ZPR </w:t>
      </w:r>
      <w:proofErr w:type="spellStart"/>
      <w:r w:rsidRPr="00D96952">
        <w:rPr>
          <w:bCs/>
          <w:i/>
        </w:rPr>
        <w:t>Attīstības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padome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Nolikuma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pielikumā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Nr</w:t>
      </w:r>
      <w:proofErr w:type="spellEnd"/>
      <w:r>
        <w:rPr>
          <w:bCs/>
          <w:i/>
        </w:rPr>
        <w:t>. 1.</w:t>
      </w:r>
      <w:r w:rsidRPr="00D96952">
        <w:rPr>
          <w:bCs/>
          <w:i/>
        </w:rPr>
        <w:t xml:space="preserve"> </w:t>
      </w:r>
      <w:proofErr w:type="spellStart"/>
      <w:proofErr w:type="gramStart"/>
      <w:r w:rsidRPr="00D96952">
        <w:rPr>
          <w:bCs/>
          <w:i/>
        </w:rPr>
        <w:t>noteiktās</w:t>
      </w:r>
      <w:proofErr w:type="spellEnd"/>
      <w:proofErr w:type="gram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maksimālās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mēneša</w:t>
      </w:r>
      <w:r>
        <w:rPr>
          <w:bCs/>
          <w:i/>
        </w:rPr>
        <w:t>lgas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grupas</w:t>
      </w:r>
      <w:proofErr w:type="spellEnd"/>
      <w:r w:rsidRPr="00D96952">
        <w:rPr>
          <w:bCs/>
          <w:i/>
        </w:rPr>
        <w:t xml:space="preserve"> </w:t>
      </w:r>
      <w:proofErr w:type="spellStart"/>
      <w:r w:rsidRPr="00D96952">
        <w:rPr>
          <w:bCs/>
          <w:i/>
        </w:rPr>
        <w:t>ietvaros</w:t>
      </w:r>
      <w:proofErr w:type="spellEnd"/>
      <w:r w:rsidRPr="00D96952">
        <w:rPr>
          <w:bCs/>
          <w:i/>
        </w:rPr>
        <w:t>.”</w:t>
      </w:r>
    </w:p>
    <w:p w:rsidR="003D4AB0" w:rsidRPr="00E20567" w:rsidRDefault="003D4AB0" w:rsidP="003D4AB0">
      <w:pPr>
        <w:autoSpaceDE w:val="0"/>
        <w:autoSpaceDN w:val="0"/>
        <w:adjustRightInd w:val="0"/>
        <w:jc w:val="both"/>
        <w:rPr>
          <w:bCs/>
          <w:i/>
        </w:rPr>
      </w:pPr>
      <w:r>
        <w:t xml:space="preserve">1.4. </w:t>
      </w:r>
      <w:proofErr w:type="spellStart"/>
      <w:r>
        <w:t>Nolikuma</w:t>
      </w:r>
      <w:proofErr w:type="spellEnd"/>
      <w:r>
        <w:t xml:space="preserve"> 9. </w:t>
      </w:r>
      <w:proofErr w:type="spellStart"/>
      <w:proofErr w:type="gramStart"/>
      <w:r>
        <w:t>punktā</w:t>
      </w:r>
      <w:proofErr w:type="spellEnd"/>
      <w:proofErr w:type="gramEnd"/>
      <w:r>
        <w:t xml:space="preserve"> </w:t>
      </w:r>
      <w:proofErr w:type="spellStart"/>
      <w:r>
        <w:t>vārdus</w:t>
      </w:r>
      <w:proofErr w:type="spellEnd"/>
      <w:r>
        <w:t xml:space="preserve"> “</w:t>
      </w:r>
      <w:proofErr w:type="spellStart"/>
      <w:r>
        <w:rPr>
          <w:bCs/>
          <w:i/>
        </w:rPr>
        <w:t>Izpilddirektora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rīkojumu</w:t>
      </w:r>
      <w:proofErr w:type="spellEnd"/>
      <w:r>
        <w:rPr>
          <w:bCs/>
          <w:i/>
        </w:rPr>
        <w:t xml:space="preserve">” </w:t>
      </w:r>
      <w:proofErr w:type="spellStart"/>
      <w:r w:rsidRPr="00E20567">
        <w:rPr>
          <w:bCs/>
        </w:rPr>
        <w:t>aizstāt</w:t>
      </w:r>
      <w:proofErr w:type="spellEnd"/>
      <w:r w:rsidRPr="00E20567">
        <w:rPr>
          <w:bCs/>
        </w:rPr>
        <w:t xml:space="preserve"> </w:t>
      </w:r>
      <w:proofErr w:type="spellStart"/>
      <w:r w:rsidRPr="00E20567">
        <w:rPr>
          <w:bCs/>
        </w:rPr>
        <w:t>ar</w:t>
      </w:r>
      <w:proofErr w:type="spellEnd"/>
      <w:r w:rsidRPr="00E20567">
        <w:rPr>
          <w:bCs/>
        </w:rPr>
        <w:t xml:space="preserve"> </w:t>
      </w:r>
      <w:proofErr w:type="spellStart"/>
      <w:r w:rsidRPr="00E20567">
        <w:rPr>
          <w:bCs/>
        </w:rPr>
        <w:t>vārdiem</w:t>
      </w:r>
      <w:proofErr w:type="spellEnd"/>
      <w:r>
        <w:rPr>
          <w:bCs/>
          <w:i/>
        </w:rPr>
        <w:t xml:space="preserve"> “</w:t>
      </w:r>
      <w:r w:rsidRPr="00E20567">
        <w:rPr>
          <w:bCs/>
          <w:i/>
          <w:color w:val="FF0000"/>
        </w:rPr>
        <w:t xml:space="preserve">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līgumu</w:t>
      </w:r>
      <w:r w:rsidRPr="00E20567">
        <w:rPr>
          <w:bCs/>
          <w:i/>
        </w:rPr>
        <w:t>”.</w:t>
      </w:r>
    </w:p>
    <w:p w:rsidR="003D4AB0" w:rsidRDefault="003D4AB0" w:rsidP="003D4AB0">
      <w:pPr>
        <w:spacing w:after="120"/>
        <w:jc w:val="both"/>
      </w:pPr>
      <w:r>
        <w:t xml:space="preserve">1.5. </w:t>
      </w:r>
      <w:proofErr w:type="spellStart"/>
      <w:r>
        <w:t>Svītrot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11. </w:t>
      </w:r>
      <w:proofErr w:type="spellStart"/>
      <w:proofErr w:type="gramStart"/>
      <w:r>
        <w:t>punktu</w:t>
      </w:r>
      <w:proofErr w:type="spellEnd"/>
      <w:proofErr w:type="gramEnd"/>
      <w:r>
        <w:t>.</w:t>
      </w:r>
    </w:p>
    <w:p w:rsidR="003D4AB0" w:rsidRDefault="003D4AB0" w:rsidP="003D4AB0">
      <w:pPr>
        <w:spacing w:after="120"/>
        <w:jc w:val="both"/>
      </w:pPr>
      <w:r>
        <w:lastRenderedPageBreak/>
        <w:t xml:space="preserve">1.6. </w:t>
      </w:r>
      <w:proofErr w:type="spellStart"/>
      <w:r>
        <w:t>Izteikt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12. </w:t>
      </w:r>
      <w:proofErr w:type="spellStart"/>
      <w:proofErr w:type="gramStart"/>
      <w:r>
        <w:t>punktu</w:t>
      </w:r>
      <w:proofErr w:type="spellEnd"/>
      <w:proofErr w:type="gramEnd"/>
      <w:r>
        <w:t xml:space="preserve"> </w:t>
      </w:r>
      <w:proofErr w:type="spellStart"/>
      <w:r>
        <w:t>šādā</w:t>
      </w:r>
      <w:proofErr w:type="spellEnd"/>
      <w:r>
        <w:t xml:space="preserve"> </w:t>
      </w:r>
      <w:proofErr w:type="spellStart"/>
      <w:r>
        <w:t>redakcijā</w:t>
      </w:r>
      <w:proofErr w:type="spellEnd"/>
      <w:r>
        <w:t xml:space="preserve">: </w:t>
      </w:r>
    </w:p>
    <w:p w:rsidR="003D4AB0" w:rsidRPr="00C1761A" w:rsidRDefault="003D4AB0" w:rsidP="003D4AB0">
      <w:pPr>
        <w:jc w:val="both"/>
        <w:rPr>
          <w:i/>
          <w:color w:val="000000"/>
        </w:rPr>
      </w:pPr>
      <w:r w:rsidRPr="00C1761A">
        <w:rPr>
          <w:bCs/>
          <w:i/>
          <w:color w:val="000000"/>
        </w:rPr>
        <w:t xml:space="preserve">„12. </w:t>
      </w:r>
      <w:proofErr w:type="spellStart"/>
      <w:r w:rsidRPr="00C1761A">
        <w:rPr>
          <w:i/>
          <w:color w:val="000000"/>
        </w:rPr>
        <w:t>Pastāvot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objektīviem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apstākļiem</w:t>
      </w:r>
      <w:proofErr w:type="spellEnd"/>
      <w:r w:rsidRPr="00C1761A">
        <w:rPr>
          <w:i/>
          <w:color w:val="000000"/>
        </w:rPr>
        <w:t xml:space="preserve">, </w:t>
      </w:r>
      <w:proofErr w:type="spellStart"/>
      <w:r w:rsidRPr="00C1761A">
        <w:rPr>
          <w:i/>
          <w:color w:val="000000"/>
        </w:rPr>
        <w:t>kā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arī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gadījumos</w:t>
      </w:r>
      <w:proofErr w:type="spellEnd"/>
      <w:r w:rsidRPr="00C1761A">
        <w:rPr>
          <w:i/>
          <w:color w:val="000000"/>
        </w:rPr>
        <w:t xml:space="preserve">, </w:t>
      </w:r>
      <w:proofErr w:type="gramStart"/>
      <w:r w:rsidRPr="00C1761A">
        <w:rPr>
          <w:i/>
          <w:color w:val="000000"/>
        </w:rPr>
        <w:t>ja</w:t>
      </w:r>
      <w:proofErr w:type="gram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Darbinieks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nepiekrīt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Novērtējumam</w:t>
      </w:r>
      <w:proofErr w:type="spellEnd"/>
      <w:r w:rsidRPr="00C1761A">
        <w:rPr>
          <w:i/>
          <w:color w:val="000000"/>
        </w:rPr>
        <w:t xml:space="preserve">, </w:t>
      </w:r>
      <w:proofErr w:type="spellStart"/>
      <w:r w:rsidRPr="00C1761A">
        <w:rPr>
          <w:i/>
          <w:color w:val="000000"/>
        </w:rPr>
        <w:t>Darbinieks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desmit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darbdienu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laikā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var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vērsties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ar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pamatotu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iesniegumu</w:t>
      </w:r>
      <w:proofErr w:type="spellEnd"/>
      <w:r w:rsidRPr="00C1761A">
        <w:rPr>
          <w:i/>
          <w:color w:val="000000"/>
        </w:rPr>
        <w:t xml:space="preserve"> pie </w:t>
      </w:r>
      <w:proofErr w:type="spellStart"/>
      <w:r w:rsidRPr="00C1761A">
        <w:rPr>
          <w:i/>
          <w:color w:val="000000"/>
        </w:rPr>
        <w:t>Izpilddirektora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ar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lūgumu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veikt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viņa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atkārtotu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novērtēšanu</w:t>
      </w:r>
      <w:proofErr w:type="spellEnd"/>
      <w:r w:rsidRPr="00C1761A">
        <w:rPr>
          <w:i/>
          <w:color w:val="000000"/>
        </w:rPr>
        <w:t xml:space="preserve">. </w:t>
      </w:r>
      <w:proofErr w:type="spellStart"/>
      <w:r w:rsidRPr="00C1761A">
        <w:rPr>
          <w:i/>
          <w:color w:val="000000"/>
        </w:rPr>
        <w:t>Izpilddirektors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var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izdot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rīkojumu</w:t>
      </w:r>
      <w:proofErr w:type="spellEnd"/>
      <w:r w:rsidRPr="00C1761A">
        <w:rPr>
          <w:i/>
          <w:color w:val="000000"/>
        </w:rPr>
        <w:t xml:space="preserve"> par </w:t>
      </w:r>
      <w:proofErr w:type="spellStart"/>
      <w:r w:rsidRPr="00C1761A">
        <w:rPr>
          <w:i/>
          <w:color w:val="000000"/>
        </w:rPr>
        <w:t>atkārtotu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Darbinie</w:t>
      </w:r>
      <w:r>
        <w:rPr>
          <w:i/>
          <w:color w:val="000000"/>
        </w:rPr>
        <w:t>ka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novērtēšanu</w:t>
      </w:r>
      <w:proofErr w:type="spellEnd"/>
      <w:r>
        <w:rPr>
          <w:i/>
          <w:color w:val="000000"/>
        </w:rPr>
        <w:t xml:space="preserve"> ne </w:t>
      </w:r>
      <w:proofErr w:type="spellStart"/>
      <w:r>
        <w:rPr>
          <w:i/>
          <w:color w:val="000000"/>
        </w:rPr>
        <w:t>ātrāk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kā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pēc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četriem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mēnešiem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pēc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ikgadējā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Novērtējuma</w:t>
      </w:r>
      <w:proofErr w:type="spellEnd"/>
      <w:r w:rsidRPr="00C1761A">
        <w:rPr>
          <w:i/>
          <w:color w:val="000000"/>
        </w:rPr>
        <w:t>.”</w:t>
      </w:r>
    </w:p>
    <w:p w:rsidR="003D4AB0" w:rsidRDefault="003D4AB0" w:rsidP="003D4AB0">
      <w:pPr>
        <w:spacing w:after="120"/>
        <w:jc w:val="both"/>
      </w:pPr>
    </w:p>
    <w:p w:rsidR="003D4AB0" w:rsidRDefault="003D4AB0" w:rsidP="003D4AB0">
      <w:pPr>
        <w:spacing w:after="120"/>
        <w:jc w:val="both"/>
      </w:pPr>
      <w:r>
        <w:t xml:space="preserve">1.7. </w:t>
      </w:r>
      <w:proofErr w:type="spellStart"/>
      <w:proofErr w:type="gramStart"/>
      <w:r>
        <w:t>Izteikt</w:t>
      </w:r>
      <w:proofErr w:type="spellEnd"/>
      <w:r>
        <w:t xml:space="preserve">  </w:t>
      </w:r>
      <w:proofErr w:type="spellStart"/>
      <w:r>
        <w:t>Nolikuma</w:t>
      </w:r>
      <w:proofErr w:type="spellEnd"/>
      <w:proofErr w:type="gramEnd"/>
      <w:r>
        <w:t xml:space="preserve"> 21</w:t>
      </w:r>
      <w:r w:rsidRPr="00C37533">
        <w:rPr>
          <w:vertAlign w:val="superscript"/>
        </w:rPr>
        <w:t>1</w:t>
      </w:r>
      <w:r>
        <w:t xml:space="preserve"> </w:t>
      </w:r>
      <w:proofErr w:type="spellStart"/>
      <w:r>
        <w:t>punktu</w:t>
      </w:r>
      <w:proofErr w:type="spellEnd"/>
      <w:r>
        <w:t xml:space="preserve"> </w:t>
      </w:r>
      <w:proofErr w:type="spellStart"/>
      <w:r>
        <w:t>sekojošā</w:t>
      </w:r>
      <w:proofErr w:type="spellEnd"/>
      <w:r>
        <w:t xml:space="preserve"> </w:t>
      </w:r>
      <w:proofErr w:type="spellStart"/>
      <w:r>
        <w:t>redakcijā</w:t>
      </w:r>
      <w:proofErr w:type="spellEnd"/>
      <w:r>
        <w:t>:</w:t>
      </w:r>
    </w:p>
    <w:p w:rsidR="003D4AB0" w:rsidRDefault="003D4AB0" w:rsidP="003D4AB0">
      <w:pPr>
        <w:spacing w:after="120"/>
        <w:jc w:val="both"/>
        <w:rPr>
          <w:i/>
        </w:rPr>
      </w:pPr>
      <w:r w:rsidRPr="00C37533">
        <w:rPr>
          <w:i/>
        </w:rPr>
        <w:t>„</w:t>
      </w:r>
      <w:r>
        <w:rPr>
          <w:i/>
        </w:rPr>
        <w:t>21</w:t>
      </w:r>
      <w:r w:rsidRPr="0086298F">
        <w:rPr>
          <w:i/>
          <w:vertAlign w:val="superscript"/>
        </w:rPr>
        <w:t>1</w:t>
      </w:r>
      <w:r>
        <w:rPr>
          <w:i/>
        </w:rPr>
        <w:t xml:space="preserve">. </w:t>
      </w:r>
      <w:proofErr w:type="spellStart"/>
      <w:r>
        <w:rPr>
          <w:i/>
        </w:rPr>
        <w:t>Budžeta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līdzekļu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pieejamības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gadījumā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Darbiniekiem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</w:t>
      </w:r>
      <w:proofErr w:type="spellEnd"/>
      <w:r>
        <w:rPr>
          <w:i/>
        </w:rPr>
        <w:t xml:space="preserve"> </w:t>
      </w:r>
      <w:proofErr w:type="spellStart"/>
      <w:r w:rsidRPr="00E20567">
        <w:rPr>
          <w:i/>
        </w:rPr>
        <w:t>Izpilddirektora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vai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padomes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priekšsēdētāja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rīkojumu</w:t>
      </w:r>
      <w:proofErr w:type="spellEnd"/>
      <w:r w:rsidRPr="00E20567">
        <w:rPr>
          <w:i/>
        </w:rPr>
        <w:t xml:space="preserve"> </w:t>
      </w:r>
      <w:proofErr w:type="spellStart"/>
      <w:r>
        <w:rPr>
          <w:i/>
        </w:rPr>
        <w:t>var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tikt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piešķirts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un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izmaksāts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atvaļinājuma</w:t>
      </w:r>
      <w:proofErr w:type="spellEnd"/>
      <w:r>
        <w:rPr>
          <w:i/>
        </w:rPr>
        <w:t xml:space="preserve"> </w:t>
      </w:r>
      <w:proofErr w:type="spellStart"/>
      <w:r w:rsidRPr="00C37533">
        <w:rPr>
          <w:i/>
        </w:rPr>
        <w:t>pabalst</w:t>
      </w:r>
      <w:r>
        <w:rPr>
          <w:i/>
        </w:rPr>
        <w:t>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līdz</w:t>
      </w:r>
      <w:proofErr w:type="spellEnd"/>
      <w:r w:rsidRPr="00C37533">
        <w:rPr>
          <w:i/>
        </w:rPr>
        <w:t xml:space="preserve"> 50 </w:t>
      </w:r>
      <w:proofErr w:type="spellStart"/>
      <w:r w:rsidRPr="00C37533">
        <w:rPr>
          <w:i/>
        </w:rPr>
        <w:t>procentiem</w:t>
      </w:r>
      <w:proofErr w:type="spellEnd"/>
      <w:r w:rsidRPr="00C37533">
        <w:rPr>
          <w:i/>
        </w:rPr>
        <w:t xml:space="preserve"> no </w:t>
      </w:r>
      <w:proofErr w:type="spellStart"/>
      <w:r w:rsidRPr="00C37533">
        <w:rPr>
          <w:i/>
        </w:rPr>
        <w:t>mēnešalgas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vienu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reizi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kalendāra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gadā</w:t>
      </w:r>
      <w:proofErr w:type="spellEnd"/>
      <w:r w:rsidRPr="00C37533">
        <w:rPr>
          <w:i/>
        </w:rPr>
        <w:t xml:space="preserve">, </w:t>
      </w:r>
      <w:proofErr w:type="spellStart"/>
      <w:r w:rsidRPr="00C37533">
        <w:rPr>
          <w:i/>
        </w:rPr>
        <w:t>aizejot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ikgadējā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apmaksātajā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atvaļinājumā</w:t>
      </w:r>
      <w:proofErr w:type="spellEnd"/>
      <w:r w:rsidRPr="00C37533">
        <w:rPr>
          <w:i/>
        </w:rPr>
        <w:t xml:space="preserve">, </w:t>
      </w:r>
      <w:proofErr w:type="spellStart"/>
      <w:r w:rsidRPr="00C37533">
        <w:rPr>
          <w:i/>
        </w:rPr>
        <w:t>ņemot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vērā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nodarbinātības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ilgumu</w:t>
      </w:r>
      <w:proofErr w:type="spellEnd"/>
      <w:r w:rsidRPr="00C37533">
        <w:rPr>
          <w:i/>
        </w:rPr>
        <w:t xml:space="preserve"> </w:t>
      </w:r>
      <w:r>
        <w:rPr>
          <w:i/>
        </w:rPr>
        <w:t>ZPR un</w:t>
      </w:r>
      <w:r w:rsidRPr="00C37533">
        <w:rPr>
          <w:i/>
        </w:rPr>
        <w:t xml:space="preserve"> </w:t>
      </w:r>
      <w:proofErr w:type="spellStart"/>
      <w:r w:rsidRPr="00C37533">
        <w:rPr>
          <w:i/>
        </w:rPr>
        <w:t>darba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izpildes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rezultātus</w:t>
      </w:r>
      <w:proofErr w:type="spellEnd"/>
      <w:r>
        <w:rPr>
          <w:i/>
        </w:rPr>
        <w:t>.</w:t>
      </w:r>
      <w:r w:rsidRPr="00C37533">
        <w:rPr>
          <w:i/>
        </w:rPr>
        <w:t xml:space="preserve"> </w:t>
      </w:r>
      <w:proofErr w:type="spellStart"/>
      <w:r>
        <w:rPr>
          <w:i/>
        </w:rPr>
        <w:t>A</w:t>
      </w:r>
      <w:r w:rsidRPr="00C37533">
        <w:rPr>
          <w:i/>
        </w:rPr>
        <w:t>tvaļinājuma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pabalsts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netiek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pārcelts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uz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nākamo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kal</w:t>
      </w:r>
      <w:r>
        <w:rPr>
          <w:i/>
        </w:rPr>
        <w:t>endāra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gadu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un</w:t>
      </w:r>
      <w:proofErr w:type="gramEnd"/>
      <w:r>
        <w:rPr>
          <w:i/>
        </w:rPr>
        <w:t xml:space="preserve">, </w:t>
      </w:r>
      <w:proofErr w:type="spellStart"/>
      <w:r>
        <w:rPr>
          <w:i/>
        </w:rPr>
        <w:t>izbeidzot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darba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attiecības</w:t>
      </w:r>
      <w:proofErr w:type="spellEnd"/>
      <w:r w:rsidRPr="00C37533">
        <w:rPr>
          <w:i/>
        </w:rPr>
        <w:t xml:space="preserve">, </w:t>
      </w:r>
      <w:proofErr w:type="spellStart"/>
      <w:r w:rsidRPr="00C37533">
        <w:rPr>
          <w:i/>
        </w:rPr>
        <w:t>tas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netiek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atlīdzināts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gadījumā</w:t>
      </w:r>
      <w:proofErr w:type="spellEnd"/>
      <w:r w:rsidRPr="00C37533">
        <w:rPr>
          <w:i/>
        </w:rPr>
        <w:t xml:space="preserve">, </w:t>
      </w:r>
      <w:proofErr w:type="spellStart"/>
      <w:r w:rsidRPr="00C37533">
        <w:rPr>
          <w:i/>
        </w:rPr>
        <w:t>kad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kārtējais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atvaļinājums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nav</w:t>
      </w:r>
      <w:proofErr w:type="spellEnd"/>
      <w:r w:rsidRPr="00C37533">
        <w:rPr>
          <w:i/>
        </w:rPr>
        <w:t xml:space="preserve"> </w:t>
      </w:r>
      <w:proofErr w:type="spellStart"/>
      <w:r w:rsidRPr="00C37533">
        <w:rPr>
          <w:i/>
        </w:rPr>
        <w:t>izmantots</w:t>
      </w:r>
      <w:proofErr w:type="spellEnd"/>
      <w:r w:rsidRPr="00C37533">
        <w:rPr>
          <w:i/>
        </w:rPr>
        <w:t>”</w:t>
      </w:r>
    </w:p>
    <w:p w:rsidR="003D4AB0" w:rsidRDefault="003D4AB0" w:rsidP="003D4AB0">
      <w:pPr>
        <w:spacing w:after="120"/>
        <w:jc w:val="both"/>
      </w:pPr>
      <w:r w:rsidRPr="00E20567">
        <w:t>1.</w:t>
      </w:r>
      <w:r>
        <w:t>8</w:t>
      </w:r>
      <w:r w:rsidRPr="00E20567">
        <w:t xml:space="preserve">. </w:t>
      </w:r>
      <w:proofErr w:type="spellStart"/>
      <w:r>
        <w:t>Svītrot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 </w:t>
      </w:r>
      <w:proofErr w:type="spellStart"/>
      <w:proofErr w:type="gramStart"/>
      <w:r>
        <w:t>punktā</w:t>
      </w:r>
      <w:proofErr w:type="spellEnd"/>
      <w:proofErr w:type="gramEnd"/>
      <w:r>
        <w:t xml:space="preserve"> </w:t>
      </w:r>
      <w:proofErr w:type="spellStart"/>
      <w:r>
        <w:t>trešo</w:t>
      </w:r>
      <w:proofErr w:type="spellEnd"/>
      <w:r>
        <w:t xml:space="preserve"> </w:t>
      </w:r>
      <w:proofErr w:type="spellStart"/>
      <w:r>
        <w:t>teikumu</w:t>
      </w:r>
      <w:proofErr w:type="spellEnd"/>
      <w:r>
        <w:t xml:space="preserve">: </w:t>
      </w:r>
    </w:p>
    <w:p w:rsidR="003D4AB0" w:rsidRPr="00C1761A" w:rsidRDefault="003D4AB0" w:rsidP="003D4AB0">
      <w:pPr>
        <w:autoSpaceDE w:val="0"/>
        <w:autoSpaceDN w:val="0"/>
        <w:adjustRightInd w:val="0"/>
        <w:jc w:val="both"/>
        <w:rPr>
          <w:color w:val="000000"/>
        </w:rPr>
      </w:pPr>
      <w:r w:rsidRPr="001E28CE">
        <w:rPr>
          <w:i/>
        </w:rPr>
        <w:t>„</w:t>
      </w:r>
      <w:proofErr w:type="spellStart"/>
      <w:r w:rsidRPr="00C1761A">
        <w:rPr>
          <w:i/>
          <w:color w:val="000000"/>
        </w:rPr>
        <w:t>Papildatvaļinājumu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var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izmantot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laikposmā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līdz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nākamajam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ikgadējam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apmaksātajam</w:t>
      </w:r>
      <w:proofErr w:type="spellEnd"/>
      <w:r w:rsidRPr="00C1761A">
        <w:rPr>
          <w:i/>
          <w:color w:val="000000"/>
        </w:rPr>
        <w:t xml:space="preserve"> </w:t>
      </w:r>
      <w:proofErr w:type="spellStart"/>
      <w:r w:rsidRPr="00C1761A">
        <w:rPr>
          <w:i/>
          <w:color w:val="000000"/>
        </w:rPr>
        <w:t>atvaļinājumam</w:t>
      </w:r>
      <w:proofErr w:type="spellEnd"/>
      <w:r w:rsidRPr="00C1761A">
        <w:rPr>
          <w:i/>
          <w:color w:val="000000"/>
        </w:rPr>
        <w:t xml:space="preserve">.” </w:t>
      </w:r>
    </w:p>
    <w:p w:rsidR="003D4AB0" w:rsidRDefault="003D4AB0" w:rsidP="003D4AB0">
      <w:pPr>
        <w:spacing w:after="120"/>
        <w:jc w:val="both"/>
      </w:pPr>
    </w:p>
    <w:p w:rsidR="003D4AB0" w:rsidRPr="00E20567" w:rsidRDefault="003D4AB0" w:rsidP="003D4AB0">
      <w:pPr>
        <w:spacing w:after="120"/>
        <w:jc w:val="both"/>
      </w:pPr>
      <w:r>
        <w:t xml:space="preserve">1.9. </w:t>
      </w:r>
      <w:proofErr w:type="spellStart"/>
      <w:proofErr w:type="gramStart"/>
      <w:r w:rsidRPr="00E20567">
        <w:t>papildināt</w:t>
      </w:r>
      <w:proofErr w:type="spellEnd"/>
      <w:proofErr w:type="gramEnd"/>
      <w:r w:rsidRPr="00E20567">
        <w:t xml:space="preserve"> </w:t>
      </w:r>
      <w:proofErr w:type="spellStart"/>
      <w:r w:rsidRPr="00E20567">
        <w:t>Nolikumu</w:t>
      </w:r>
      <w:proofErr w:type="spellEnd"/>
      <w:r w:rsidRPr="00E20567">
        <w:t xml:space="preserve"> </w:t>
      </w:r>
      <w:proofErr w:type="spellStart"/>
      <w:r w:rsidRPr="00E20567">
        <w:t>ar</w:t>
      </w:r>
      <w:proofErr w:type="spellEnd"/>
      <w:r w:rsidRPr="00E20567">
        <w:t xml:space="preserve"> </w:t>
      </w:r>
      <w:proofErr w:type="spellStart"/>
      <w:r w:rsidRPr="00E20567">
        <w:t>jauniem</w:t>
      </w:r>
      <w:proofErr w:type="spellEnd"/>
      <w:r w:rsidRPr="00E20567">
        <w:t xml:space="preserve"> </w:t>
      </w:r>
      <w:proofErr w:type="spellStart"/>
      <w:r w:rsidRPr="00E20567">
        <w:t>apakšpunktiem</w:t>
      </w:r>
      <w:proofErr w:type="spellEnd"/>
      <w:r w:rsidRPr="00E20567">
        <w:t xml:space="preserve"> 25.</w:t>
      </w:r>
      <w:r w:rsidRPr="00E20567">
        <w:rPr>
          <w:vertAlign w:val="superscript"/>
        </w:rPr>
        <w:t>1</w:t>
      </w:r>
      <w:r>
        <w:t xml:space="preserve"> ,</w:t>
      </w:r>
      <w:r w:rsidRPr="00E20567">
        <w:t xml:space="preserve"> 25.</w:t>
      </w:r>
      <w:r w:rsidRPr="00E20567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E20567">
        <w:t>.</w:t>
      </w:r>
      <w:r>
        <w:t>un 25.</w:t>
      </w:r>
      <w:r w:rsidRPr="00C1761A">
        <w:rPr>
          <w:vertAlign w:val="superscript"/>
        </w:rPr>
        <w:t>3</w:t>
      </w:r>
      <w:r w:rsidRPr="00E20567">
        <w:t xml:space="preserve"> </w:t>
      </w:r>
      <w:proofErr w:type="spellStart"/>
      <w:r w:rsidRPr="00E20567">
        <w:t>sekojošā</w:t>
      </w:r>
      <w:proofErr w:type="spellEnd"/>
      <w:r w:rsidRPr="00E20567">
        <w:t xml:space="preserve"> </w:t>
      </w:r>
      <w:proofErr w:type="spellStart"/>
      <w:r w:rsidRPr="00E20567">
        <w:t>redakcijā</w:t>
      </w:r>
      <w:proofErr w:type="spellEnd"/>
      <w:r w:rsidRPr="00E20567">
        <w:t xml:space="preserve">: </w:t>
      </w:r>
    </w:p>
    <w:p w:rsidR="003D4AB0" w:rsidRPr="00E20567" w:rsidRDefault="003D4AB0" w:rsidP="003D4AB0">
      <w:pPr>
        <w:pStyle w:val="tv213"/>
        <w:spacing w:before="0" w:beforeAutospacing="0" w:after="0" w:afterAutospacing="0" w:line="293" w:lineRule="atLeast"/>
        <w:jc w:val="both"/>
        <w:rPr>
          <w:i/>
        </w:rPr>
      </w:pPr>
      <w:r>
        <w:rPr>
          <w:i/>
        </w:rPr>
        <w:t>“</w:t>
      </w:r>
      <w:r w:rsidRPr="00E20567">
        <w:rPr>
          <w:i/>
        </w:rPr>
        <w:t>25.</w:t>
      </w:r>
      <w:r w:rsidRPr="00E20567">
        <w:rPr>
          <w:i/>
          <w:vertAlign w:val="superscript"/>
        </w:rPr>
        <w:t xml:space="preserve">1 </w:t>
      </w:r>
      <w:r w:rsidRPr="00E20567">
        <w:rPr>
          <w:i/>
        </w:rPr>
        <w:t>Darbiniekiem, kuru aprūpē ir trīs vai vairāki bērni vecumā līdz 1</w:t>
      </w:r>
      <w:r>
        <w:rPr>
          <w:i/>
        </w:rPr>
        <w:t>6</w:t>
      </w:r>
      <w:r w:rsidRPr="00E20567">
        <w:rPr>
          <w:i/>
        </w:rPr>
        <w:t xml:space="preserve"> gadiem vai bērns invalīds līdz 18 gadu vecumam, piešķir papildatvaļinājumu trīs darba dienas;</w:t>
      </w:r>
    </w:p>
    <w:p w:rsidR="003D4AB0" w:rsidRPr="00E20567" w:rsidRDefault="003D4AB0" w:rsidP="003D4AB0">
      <w:pPr>
        <w:pStyle w:val="tv213"/>
        <w:spacing w:before="0" w:beforeAutospacing="0" w:after="0" w:afterAutospacing="0" w:line="293" w:lineRule="atLeast"/>
        <w:ind w:left="360"/>
        <w:jc w:val="both"/>
        <w:rPr>
          <w:i/>
        </w:rPr>
      </w:pPr>
    </w:p>
    <w:p w:rsidR="003D4AB0" w:rsidRDefault="003D4AB0" w:rsidP="003D4AB0">
      <w:pPr>
        <w:pStyle w:val="tv213"/>
        <w:spacing w:before="0" w:beforeAutospacing="0" w:after="0" w:afterAutospacing="0" w:line="293" w:lineRule="atLeast"/>
        <w:jc w:val="both"/>
        <w:rPr>
          <w:i/>
        </w:rPr>
      </w:pPr>
      <w:r w:rsidRPr="00E20567">
        <w:rPr>
          <w:i/>
        </w:rPr>
        <w:t>25.</w:t>
      </w:r>
      <w:r w:rsidRPr="00E20567">
        <w:rPr>
          <w:i/>
          <w:vertAlign w:val="superscript"/>
        </w:rPr>
        <w:t>2</w:t>
      </w:r>
      <w:r w:rsidRPr="00E20567">
        <w:rPr>
          <w:i/>
        </w:rPr>
        <w:t xml:space="preserve"> Darbiniekiem, kuru aprūpē ir mazāk par trim bērniem vecumā līdz 14 gadiem, piešķir papildatvaļinājumu ne mazāk par vienu darba dienu.</w:t>
      </w:r>
      <w:r>
        <w:rPr>
          <w:i/>
        </w:rPr>
        <w:t>”</w:t>
      </w:r>
    </w:p>
    <w:p w:rsidR="003D4AB0" w:rsidRDefault="003D4AB0" w:rsidP="003D4AB0">
      <w:pPr>
        <w:pStyle w:val="tv213"/>
        <w:spacing w:before="0" w:beforeAutospacing="0" w:after="0" w:afterAutospacing="0" w:line="293" w:lineRule="atLeast"/>
        <w:jc w:val="both"/>
        <w:rPr>
          <w:i/>
        </w:rPr>
      </w:pPr>
    </w:p>
    <w:p w:rsidR="003D4AB0" w:rsidRPr="00AE48F7" w:rsidRDefault="003D4AB0" w:rsidP="003D4AB0">
      <w:pPr>
        <w:autoSpaceDE w:val="0"/>
        <w:autoSpaceDN w:val="0"/>
        <w:adjustRightInd w:val="0"/>
        <w:jc w:val="both"/>
        <w:rPr>
          <w:i/>
          <w:color w:val="000000"/>
        </w:rPr>
      </w:pPr>
      <w:r w:rsidRPr="00AE48F7">
        <w:rPr>
          <w:i/>
          <w:color w:val="000000"/>
        </w:rPr>
        <w:t>„25.</w:t>
      </w:r>
      <w:r w:rsidRPr="00AE48F7">
        <w:rPr>
          <w:i/>
          <w:color w:val="000000"/>
          <w:vertAlign w:val="superscript"/>
        </w:rPr>
        <w:t>3</w:t>
      </w:r>
      <w:r w:rsidRPr="00AE48F7">
        <w:rPr>
          <w:i/>
          <w:color w:val="000000"/>
        </w:rPr>
        <w:t xml:space="preserve"> Ja </w:t>
      </w:r>
      <w:proofErr w:type="spellStart"/>
      <w:r w:rsidRPr="00AE48F7">
        <w:rPr>
          <w:i/>
          <w:color w:val="000000"/>
        </w:rPr>
        <w:t>Darbinieks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nav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izmantojis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visu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ikgadējo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apmaksāto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atvaļinājumu</w:t>
      </w:r>
      <w:proofErr w:type="spellEnd"/>
      <w:r w:rsidRPr="00AE48F7">
        <w:rPr>
          <w:i/>
          <w:color w:val="000000"/>
        </w:rPr>
        <w:t xml:space="preserve"> </w:t>
      </w:r>
      <w:proofErr w:type="gramStart"/>
      <w:r w:rsidRPr="00AE48F7">
        <w:rPr>
          <w:i/>
          <w:color w:val="000000"/>
        </w:rPr>
        <w:t>un</w:t>
      </w:r>
      <w:proofErr w:type="gram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tā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daļa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tiek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pārcelta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uz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nākamo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gadu</w:t>
      </w:r>
      <w:proofErr w:type="spellEnd"/>
      <w:r w:rsidRPr="00AE48F7">
        <w:rPr>
          <w:i/>
          <w:color w:val="000000"/>
        </w:rPr>
        <w:t xml:space="preserve">, tad </w:t>
      </w:r>
      <w:proofErr w:type="spellStart"/>
      <w:r w:rsidRPr="00AE48F7">
        <w:rPr>
          <w:i/>
          <w:color w:val="000000"/>
        </w:rPr>
        <w:t>papildatvaļinājumu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ir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iespējams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izmantot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nākamajā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gadā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pēc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atlikušās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ikgadējā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apmaksātā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atvaļinājuma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daļas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izmantošanas</w:t>
      </w:r>
      <w:proofErr w:type="spellEnd"/>
      <w:r w:rsidRPr="00AE48F7">
        <w:rPr>
          <w:i/>
          <w:color w:val="000000"/>
        </w:rPr>
        <w:t xml:space="preserve">, pie </w:t>
      </w:r>
      <w:proofErr w:type="spellStart"/>
      <w:r w:rsidRPr="00AE48F7">
        <w:rPr>
          <w:i/>
          <w:color w:val="000000"/>
        </w:rPr>
        <w:t>kam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tikai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periodā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līdz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nākamajam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ikgadējam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apmaksātajam</w:t>
      </w:r>
      <w:proofErr w:type="spellEnd"/>
      <w:r w:rsidRPr="00AE48F7">
        <w:rPr>
          <w:i/>
          <w:color w:val="000000"/>
        </w:rPr>
        <w:t xml:space="preserve"> </w:t>
      </w:r>
      <w:proofErr w:type="spellStart"/>
      <w:r w:rsidRPr="00AE48F7">
        <w:rPr>
          <w:i/>
          <w:color w:val="000000"/>
        </w:rPr>
        <w:t>atvaļinājumam</w:t>
      </w:r>
      <w:proofErr w:type="spellEnd"/>
      <w:r w:rsidRPr="00AE48F7">
        <w:rPr>
          <w:i/>
          <w:color w:val="000000"/>
        </w:rPr>
        <w:t xml:space="preserve">.” </w:t>
      </w:r>
    </w:p>
    <w:p w:rsidR="003D4AB0" w:rsidRDefault="003D4AB0" w:rsidP="003D4AB0">
      <w:pPr>
        <w:pStyle w:val="tv213"/>
        <w:spacing w:before="0" w:beforeAutospacing="0" w:after="0" w:afterAutospacing="0" w:line="293" w:lineRule="atLeast"/>
        <w:jc w:val="both"/>
        <w:rPr>
          <w:i/>
        </w:rPr>
      </w:pPr>
    </w:p>
    <w:p w:rsidR="003D4AB0" w:rsidRDefault="003D4AB0" w:rsidP="003D4AB0">
      <w:pPr>
        <w:pStyle w:val="tv213"/>
        <w:spacing w:before="0" w:beforeAutospacing="0" w:after="0" w:afterAutospacing="0" w:line="293" w:lineRule="atLeast"/>
        <w:jc w:val="both"/>
        <w:rPr>
          <w:i/>
        </w:rPr>
      </w:pPr>
      <w:r w:rsidRPr="00E20567">
        <w:t>1.</w:t>
      </w:r>
      <w:r>
        <w:t>10</w:t>
      </w:r>
      <w:r w:rsidRPr="00E20567">
        <w:t xml:space="preserve">. Nolikuma 26.1., 26.2., </w:t>
      </w:r>
      <w:proofErr w:type="gramStart"/>
      <w:r w:rsidRPr="00E20567">
        <w:t xml:space="preserve">26.3. apakšpunktus izteikt sekojošā </w:t>
      </w:r>
      <w:proofErr w:type="spellStart"/>
      <w:r w:rsidRPr="00E20567">
        <w:t>ŗedakcijā</w:t>
      </w:r>
      <w:proofErr w:type="spellEnd"/>
      <w:proofErr w:type="gramEnd"/>
      <w:r>
        <w:rPr>
          <w:i/>
        </w:rPr>
        <w:t>:</w:t>
      </w:r>
    </w:p>
    <w:p w:rsidR="003D4AB0" w:rsidRPr="00E20567" w:rsidRDefault="003D4AB0" w:rsidP="003D4AB0">
      <w:pPr>
        <w:pStyle w:val="tv213"/>
        <w:spacing w:before="0" w:beforeAutospacing="0" w:after="0" w:afterAutospacing="0" w:line="293" w:lineRule="atLeast"/>
        <w:jc w:val="both"/>
        <w:rPr>
          <w:i/>
        </w:rPr>
      </w:pPr>
    </w:p>
    <w:p w:rsidR="003D4AB0" w:rsidRPr="00E20567" w:rsidRDefault="003D4AB0" w:rsidP="003D4AB0">
      <w:pPr>
        <w:autoSpaceDE w:val="0"/>
        <w:autoSpaceDN w:val="0"/>
        <w:adjustRightInd w:val="0"/>
        <w:jc w:val="both"/>
        <w:rPr>
          <w:bCs/>
          <w:i/>
        </w:rPr>
      </w:pPr>
      <w:r>
        <w:rPr>
          <w:i/>
        </w:rPr>
        <w:t>26.1</w:t>
      </w:r>
      <w:proofErr w:type="gramStart"/>
      <w:r>
        <w:rPr>
          <w:i/>
        </w:rPr>
        <w:t>.“</w:t>
      </w:r>
      <w:proofErr w:type="gramEnd"/>
      <w:r w:rsidRPr="00E20567">
        <w:rPr>
          <w:i/>
        </w:rPr>
        <w:t xml:space="preserve">Ja </w:t>
      </w:r>
      <w:proofErr w:type="spellStart"/>
      <w:r w:rsidRPr="00E20567">
        <w:rPr>
          <w:i/>
        </w:rPr>
        <w:t>Darbinieks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Novērtējumā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saņēmis</w:t>
      </w:r>
      <w:proofErr w:type="spellEnd"/>
      <w:r w:rsidRPr="00E20567">
        <w:rPr>
          <w:i/>
        </w:rPr>
        <w:t xml:space="preserve">  85% - 100% no </w:t>
      </w:r>
      <w:proofErr w:type="spellStart"/>
      <w:r w:rsidRPr="00E20567">
        <w:rPr>
          <w:i/>
        </w:rPr>
        <w:t>maksimālā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iespējamā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punktu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skaita</w:t>
      </w:r>
      <w:proofErr w:type="spellEnd"/>
      <w:r w:rsidRPr="00E20567">
        <w:rPr>
          <w:i/>
        </w:rPr>
        <w:t xml:space="preserve"> – no </w:t>
      </w:r>
      <w:proofErr w:type="spellStart"/>
      <w:r w:rsidRPr="00E20567">
        <w:rPr>
          <w:i/>
        </w:rPr>
        <w:t>piecām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līdz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desmit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darbdienām</w:t>
      </w:r>
      <w:proofErr w:type="spellEnd"/>
      <w:r w:rsidRPr="00E20567">
        <w:rPr>
          <w:i/>
        </w:rPr>
        <w:t>;</w:t>
      </w:r>
    </w:p>
    <w:p w:rsidR="003D4AB0" w:rsidRPr="00E20567" w:rsidRDefault="003D4AB0" w:rsidP="003D4AB0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26.2</w:t>
      </w:r>
      <w:proofErr w:type="gramStart"/>
      <w:r>
        <w:rPr>
          <w:i/>
        </w:rPr>
        <w:t>.</w:t>
      </w:r>
      <w:r w:rsidRPr="00E20567">
        <w:rPr>
          <w:i/>
        </w:rPr>
        <w:t>Ja</w:t>
      </w:r>
      <w:proofErr w:type="gram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Darbinieks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Novērtējumā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saņēmis</w:t>
      </w:r>
      <w:proofErr w:type="spellEnd"/>
      <w:r w:rsidRPr="00E20567">
        <w:rPr>
          <w:i/>
        </w:rPr>
        <w:t xml:space="preserve"> 61% - 84%  no </w:t>
      </w:r>
      <w:proofErr w:type="spellStart"/>
      <w:r w:rsidRPr="00E20567">
        <w:rPr>
          <w:i/>
        </w:rPr>
        <w:t>maksimālā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pieļaujamā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punktu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skaita</w:t>
      </w:r>
      <w:proofErr w:type="spellEnd"/>
      <w:r w:rsidRPr="00E20567">
        <w:rPr>
          <w:i/>
        </w:rPr>
        <w:t xml:space="preserve">– no trim </w:t>
      </w:r>
      <w:proofErr w:type="spellStart"/>
      <w:r w:rsidRPr="00E20567">
        <w:rPr>
          <w:i/>
        </w:rPr>
        <w:t>līdz</w:t>
      </w:r>
      <w:proofErr w:type="spellEnd"/>
      <w:r w:rsidRPr="00E20567">
        <w:rPr>
          <w:i/>
        </w:rPr>
        <w:t xml:space="preserve">  </w:t>
      </w:r>
      <w:proofErr w:type="spellStart"/>
      <w:r w:rsidRPr="00E20567">
        <w:rPr>
          <w:i/>
        </w:rPr>
        <w:t>piecām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darbdienām</w:t>
      </w:r>
      <w:proofErr w:type="spellEnd"/>
      <w:r w:rsidRPr="00E20567">
        <w:rPr>
          <w:i/>
        </w:rPr>
        <w:t>;</w:t>
      </w:r>
    </w:p>
    <w:p w:rsidR="003D4AB0" w:rsidRDefault="003D4AB0" w:rsidP="003D4AB0">
      <w:pPr>
        <w:autoSpaceDE w:val="0"/>
        <w:autoSpaceDN w:val="0"/>
        <w:adjustRightInd w:val="0"/>
        <w:jc w:val="both"/>
        <w:rPr>
          <w:bCs/>
          <w:i/>
        </w:rPr>
      </w:pPr>
      <w:r>
        <w:rPr>
          <w:i/>
        </w:rPr>
        <w:t>26.3</w:t>
      </w:r>
      <w:proofErr w:type="gramStart"/>
      <w:r>
        <w:rPr>
          <w:i/>
        </w:rPr>
        <w:t>.</w:t>
      </w:r>
      <w:r w:rsidRPr="00E20567">
        <w:rPr>
          <w:i/>
        </w:rPr>
        <w:t>Ja</w:t>
      </w:r>
      <w:proofErr w:type="gram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Darbinieks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Novērtējumā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saņēmis</w:t>
      </w:r>
      <w:proofErr w:type="spellEnd"/>
      <w:r w:rsidRPr="00E20567">
        <w:rPr>
          <w:i/>
        </w:rPr>
        <w:t xml:space="preserve"> 51% - 60% no </w:t>
      </w:r>
      <w:proofErr w:type="spellStart"/>
      <w:r w:rsidRPr="00E20567">
        <w:rPr>
          <w:i/>
        </w:rPr>
        <w:t>maksimālā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pieļaujamā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punktu</w:t>
      </w:r>
      <w:proofErr w:type="spellEnd"/>
      <w:r w:rsidRPr="00E20567">
        <w:rPr>
          <w:i/>
        </w:rPr>
        <w:t xml:space="preserve"> </w:t>
      </w:r>
      <w:proofErr w:type="spellStart"/>
      <w:r w:rsidRPr="00E20567">
        <w:rPr>
          <w:i/>
        </w:rPr>
        <w:t>skaita</w:t>
      </w:r>
      <w:proofErr w:type="spellEnd"/>
      <w:r w:rsidRPr="00E20567">
        <w:rPr>
          <w:i/>
        </w:rPr>
        <w:t xml:space="preserve"> un</w:t>
      </w:r>
      <w:r w:rsidRPr="00E20567">
        <w:rPr>
          <w:bCs/>
          <w:i/>
        </w:rPr>
        <w:t xml:space="preserve"> ja </w:t>
      </w:r>
      <w:proofErr w:type="spellStart"/>
      <w:r w:rsidRPr="00E20567">
        <w:rPr>
          <w:bCs/>
          <w:i/>
        </w:rPr>
        <w:t>amata</w:t>
      </w:r>
      <w:proofErr w:type="spellEnd"/>
      <w:r w:rsidRPr="00E20567">
        <w:rPr>
          <w:bCs/>
          <w:i/>
        </w:rPr>
        <w:t xml:space="preserve"> </w:t>
      </w:r>
      <w:proofErr w:type="spellStart"/>
      <w:r w:rsidRPr="00E20567">
        <w:rPr>
          <w:bCs/>
          <w:i/>
        </w:rPr>
        <w:t>pienākumu</w:t>
      </w:r>
      <w:proofErr w:type="spellEnd"/>
      <w:r w:rsidRPr="00E20567">
        <w:rPr>
          <w:bCs/>
          <w:i/>
        </w:rPr>
        <w:t xml:space="preserve"> </w:t>
      </w:r>
      <w:proofErr w:type="spellStart"/>
      <w:r w:rsidRPr="00E20567">
        <w:rPr>
          <w:bCs/>
          <w:i/>
        </w:rPr>
        <w:t>izpildes</w:t>
      </w:r>
      <w:proofErr w:type="spellEnd"/>
      <w:r w:rsidRPr="00E20567">
        <w:rPr>
          <w:bCs/>
          <w:i/>
        </w:rPr>
        <w:t xml:space="preserve"> </w:t>
      </w:r>
      <w:proofErr w:type="spellStart"/>
      <w:r w:rsidRPr="00E20567">
        <w:rPr>
          <w:bCs/>
          <w:i/>
        </w:rPr>
        <w:t>rezultāti</w:t>
      </w:r>
      <w:proofErr w:type="spellEnd"/>
      <w:r w:rsidRPr="00E20567">
        <w:rPr>
          <w:bCs/>
          <w:i/>
        </w:rPr>
        <w:t xml:space="preserve"> </w:t>
      </w:r>
      <w:proofErr w:type="spellStart"/>
      <w:r w:rsidRPr="00E20567">
        <w:rPr>
          <w:bCs/>
          <w:i/>
        </w:rPr>
        <w:t>atbilst</w:t>
      </w:r>
      <w:proofErr w:type="spellEnd"/>
      <w:r w:rsidRPr="00E20567">
        <w:rPr>
          <w:bCs/>
          <w:i/>
        </w:rPr>
        <w:t xml:space="preserve"> </w:t>
      </w:r>
      <w:proofErr w:type="spellStart"/>
      <w:r w:rsidRPr="00E20567">
        <w:rPr>
          <w:bCs/>
          <w:i/>
        </w:rPr>
        <w:t>amatam</w:t>
      </w:r>
      <w:proofErr w:type="spellEnd"/>
      <w:r w:rsidRPr="00E20567">
        <w:rPr>
          <w:bCs/>
          <w:i/>
        </w:rPr>
        <w:t xml:space="preserve"> </w:t>
      </w:r>
      <w:proofErr w:type="spellStart"/>
      <w:r w:rsidRPr="00E20567">
        <w:rPr>
          <w:bCs/>
          <w:i/>
        </w:rPr>
        <w:t>izvirzītajām</w:t>
      </w:r>
      <w:proofErr w:type="spellEnd"/>
      <w:r w:rsidRPr="00E20567">
        <w:rPr>
          <w:bCs/>
          <w:i/>
        </w:rPr>
        <w:t xml:space="preserve"> </w:t>
      </w:r>
      <w:proofErr w:type="spellStart"/>
      <w:r w:rsidRPr="00E20567">
        <w:rPr>
          <w:bCs/>
          <w:i/>
        </w:rPr>
        <w:t>prasībām</w:t>
      </w:r>
      <w:proofErr w:type="spellEnd"/>
      <w:r w:rsidRPr="00E20567">
        <w:rPr>
          <w:bCs/>
          <w:i/>
        </w:rPr>
        <w:t xml:space="preserve"> – no </w:t>
      </w:r>
      <w:proofErr w:type="spellStart"/>
      <w:r w:rsidRPr="00E20567">
        <w:rPr>
          <w:bCs/>
          <w:i/>
        </w:rPr>
        <w:t>vienas</w:t>
      </w:r>
      <w:proofErr w:type="spellEnd"/>
      <w:r w:rsidRPr="00E20567">
        <w:rPr>
          <w:bCs/>
          <w:i/>
        </w:rPr>
        <w:t xml:space="preserve"> </w:t>
      </w:r>
      <w:proofErr w:type="spellStart"/>
      <w:r w:rsidRPr="00E20567">
        <w:rPr>
          <w:bCs/>
          <w:i/>
        </w:rPr>
        <w:t>līdz</w:t>
      </w:r>
      <w:proofErr w:type="spellEnd"/>
      <w:r w:rsidRPr="00E20567">
        <w:rPr>
          <w:bCs/>
          <w:i/>
        </w:rPr>
        <w:t xml:space="preserve"> trim </w:t>
      </w:r>
      <w:proofErr w:type="spellStart"/>
      <w:r w:rsidRPr="00E20567">
        <w:rPr>
          <w:bCs/>
          <w:i/>
        </w:rPr>
        <w:t>darbdienām</w:t>
      </w:r>
      <w:proofErr w:type="spellEnd"/>
      <w:r w:rsidRPr="00E20567">
        <w:rPr>
          <w:bCs/>
          <w:i/>
        </w:rPr>
        <w:t>;</w:t>
      </w:r>
      <w:r>
        <w:rPr>
          <w:bCs/>
          <w:i/>
        </w:rPr>
        <w:t>”</w:t>
      </w:r>
    </w:p>
    <w:p w:rsidR="003D4AB0" w:rsidRDefault="003D4AB0" w:rsidP="003D4AB0">
      <w:pPr>
        <w:autoSpaceDE w:val="0"/>
        <w:autoSpaceDN w:val="0"/>
        <w:adjustRightInd w:val="0"/>
        <w:jc w:val="both"/>
        <w:rPr>
          <w:bCs/>
          <w:i/>
        </w:rPr>
      </w:pPr>
    </w:p>
    <w:p w:rsidR="003D4AB0" w:rsidRPr="00500DFC" w:rsidRDefault="003D4AB0" w:rsidP="003D4AB0">
      <w:pPr>
        <w:autoSpaceDE w:val="0"/>
        <w:autoSpaceDN w:val="0"/>
        <w:adjustRightInd w:val="0"/>
        <w:jc w:val="both"/>
        <w:rPr>
          <w:bCs/>
        </w:rPr>
      </w:pPr>
      <w:r w:rsidRPr="00500DFC">
        <w:rPr>
          <w:bCs/>
        </w:rPr>
        <w:t>1.</w:t>
      </w:r>
      <w:r>
        <w:rPr>
          <w:bCs/>
        </w:rPr>
        <w:t>11</w:t>
      </w:r>
      <w:r w:rsidRPr="00500DFC">
        <w:rPr>
          <w:bCs/>
        </w:rPr>
        <w:t xml:space="preserve">. </w:t>
      </w:r>
      <w:proofErr w:type="spellStart"/>
      <w:r w:rsidRPr="00500DFC">
        <w:rPr>
          <w:bCs/>
        </w:rPr>
        <w:t>Nolikuma</w:t>
      </w:r>
      <w:proofErr w:type="spellEnd"/>
      <w:r w:rsidRPr="00500DFC">
        <w:rPr>
          <w:bCs/>
        </w:rPr>
        <w:t xml:space="preserve"> 28. </w:t>
      </w:r>
      <w:proofErr w:type="spellStart"/>
      <w:proofErr w:type="gramStart"/>
      <w:r w:rsidRPr="00500DFC">
        <w:rPr>
          <w:bCs/>
        </w:rPr>
        <w:t>punktu</w:t>
      </w:r>
      <w:proofErr w:type="spellEnd"/>
      <w:proofErr w:type="gramEnd"/>
      <w:r w:rsidRPr="00500DFC">
        <w:rPr>
          <w:bCs/>
        </w:rPr>
        <w:t xml:space="preserve"> </w:t>
      </w:r>
      <w:proofErr w:type="spellStart"/>
      <w:r w:rsidRPr="00500DFC">
        <w:rPr>
          <w:bCs/>
        </w:rPr>
        <w:t>papildināt</w:t>
      </w:r>
      <w:proofErr w:type="spellEnd"/>
      <w:r w:rsidRPr="00500DFC">
        <w:rPr>
          <w:bCs/>
        </w:rPr>
        <w:t xml:space="preserve"> </w:t>
      </w:r>
      <w:proofErr w:type="spellStart"/>
      <w:r w:rsidRPr="00500DFC">
        <w:rPr>
          <w:bCs/>
        </w:rPr>
        <w:t>ar</w:t>
      </w:r>
      <w:proofErr w:type="spellEnd"/>
      <w:r w:rsidRPr="00500DFC">
        <w:rPr>
          <w:bCs/>
        </w:rPr>
        <w:t xml:space="preserve"> </w:t>
      </w:r>
      <w:proofErr w:type="spellStart"/>
      <w:r w:rsidRPr="00500DFC">
        <w:rPr>
          <w:bCs/>
        </w:rPr>
        <w:t>vārdu</w:t>
      </w:r>
      <w:proofErr w:type="spellEnd"/>
      <w:r>
        <w:rPr>
          <w:bCs/>
        </w:rPr>
        <w:t xml:space="preserve"> </w:t>
      </w:r>
      <w:r w:rsidRPr="00500DFC">
        <w:rPr>
          <w:bCs/>
        </w:rPr>
        <w:t>“</w:t>
      </w:r>
      <w:proofErr w:type="spellStart"/>
      <w:r w:rsidRPr="00500DFC">
        <w:rPr>
          <w:bCs/>
          <w:i/>
        </w:rPr>
        <w:t>līdz</w:t>
      </w:r>
      <w:proofErr w:type="spellEnd"/>
      <w:r w:rsidRPr="00500DFC">
        <w:rPr>
          <w:bCs/>
          <w:i/>
        </w:rPr>
        <w:t>”</w:t>
      </w:r>
      <w:r w:rsidRPr="00500DFC">
        <w:rPr>
          <w:bCs/>
        </w:rPr>
        <w:t xml:space="preserve"> , </w:t>
      </w:r>
      <w:proofErr w:type="spellStart"/>
      <w:r w:rsidRPr="00500DFC">
        <w:rPr>
          <w:bCs/>
        </w:rPr>
        <w:t>svītrot</w:t>
      </w:r>
      <w:proofErr w:type="spellEnd"/>
      <w:r w:rsidRPr="00500DFC">
        <w:rPr>
          <w:bCs/>
        </w:rPr>
        <w:t xml:space="preserve"> </w:t>
      </w:r>
      <w:proofErr w:type="spellStart"/>
      <w:r w:rsidRPr="00500DFC">
        <w:rPr>
          <w:bCs/>
        </w:rPr>
        <w:t>vārdus</w:t>
      </w:r>
      <w:proofErr w:type="spellEnd"/>
      <w:r w:rsidRPr="00500DFC">
        <w:rPr>
          <w:bCs/>
        </w:rPr>
        <w:t xml:space="preserve"> “.. </w:t>
      </w:r>
      <w:proofErr w:type="spellStart"/>
      <w:proofErr w:type="gramStart"/>
      <w:r w:rsidRPr="00500DFC">
        <w:rPr>
          <w:bCs/>
          <w:i/>
        </w:rPr>
        <w:t>izvērtējot</w:t>
      </w:r>
      <w:proofErr w:type="spellEnd"/>
      <w:proofErr w:type="gram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Izpilddirektora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darba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rezultātus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iepriekšējā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laika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periodā</w:t>
      </w:r>
      <w:proofErr w:type="spellEnd"/>
      <w:r w:rsidRPr="00500DFC">
        <w:rPr>
          <w:bCs/>
          <w:i/>
        </w:rPr>
        <w:t>...</w:t>
      </w:r>
      <w:r w:rsidRPr="00500DFC">
        <w:rPr>
          <w:bCs/>
        </w:rPr>
        <w:t xml:space="preserve">” un </w:t>
      </w:r>
      <w:proofErr w:type="spellStart"/>
      <w:r w:rsidRPr="00500DFC">
        <w:rPr>
          <w:bCs/>
        </w:rPr>
        <w:t>izteikt</w:t>
      </w:r>
      <w:proofErr w:type="spellEnd"/>
      <w:r w:rsidRPr="00500DFC">
        <w:rPr>
          <w:bCs/>
        </w:rPr>
        <w:t xml:space="preserve"> 28. </w:t>
      </w:r>
      <w:proofErr w:type="spellStart"/>
      <w:proofErr w:type="gramStart"/>
      <w:r w:rsidRPr="00500DFC">
        <w:rPr>
          <w:bCs/>
        </w:rPr>
        <w:t>punktu</w:t>
      </w:r>
      <w:proofErr w:type="spellEnd"/>
      <w:proofErr w:type="gramEnd"/>
      <w:r w:rsidRPr="00500DFC">
        <w:rPr>
          <w:bCs/>
        </w:rPr>
        <w:t xml:space="preserve"> </w:t>
      </w:r>
      <w:proofErr w:type="spellStart"/>
      <w:r w:rsidRPr="00500DFC">
        <w:rPr>
          <w:bCs/>
        </w:rPr>
        <w:t>sekojošā</w:t>
      </w:r>
      <w:proofErr w:type="spellEnd"/>
      <w:r w:rsidRPr="00500DFC">
        <w:rPr>
          <w:bCs/>
        </w:rPr>
        <w:t xml:space="preserve"> </w:t>
      </w:r>
      <w:proofErr w:type="spellStart"/>
      <w:r w:rsidRPr="00500DFC">
        <w:rPr>
          <w:bCs/>
        </w:rPr>
        <w:t>redakcijā</w:t>
      </w:r>
      <w:proofErr w:type="spellEnd"/>
      <w:r w:rsidRPr="00500DFC">
        <w:rPr>
          <w:bCs/>
        </w:rPr>
        <w:t>:</w:t>
      </w:r>
    </w:p>
    <w:p w:rsidR="003D4AB0" w:rsidRDefault="003D4AB0" w:rsidP="003D4AB0">
      <w:pPr>
        <w:autoSpaceDE w:val="0"/>
        <w:autoSpaceDN w:val="0"/>
        <w:adjustRightInd w:val="0"/>
        <w:jc w:val="both"/>
        <w:rPr>
          <w:bCs/>
        </w:rPr>
      </w:pPr>
    </w:p>
    <w:p w:rsidR="003D4AB0" w:rsidRDefault="003D4AB0" w:rsidP="003D4AB0">
      <w:pPr>
        <w:autoSpaceDE w:val="0"/>
        <w:autoSpaceDN w:val="0"/>
        <w:adjustRightInd w:val="0"/>
        <w:jc w:val="both"/>
        <w:rPr>
          <w:bCs/>
          <w:i/>
        </w:rPr>
      </w:pPr>
      <w:r>
        <w:rPr>
          <w:bCs/>
          <w:i/>
        </w:rPr>
        <w:t>“</w:t>
      </w:r>
      <w:r w:rsidRPr="00500DFC">
        <w:rPr>
          <w:bCs/>
          <w:i/>
        </w:rPr>
        <w:t xml:space="preserve">28.Izpilddirektoram </w:t>
      </w:r>
      <w:proofErr w:type="spellStart"/>
      <w:r w:rsidRPr="00500DFC">
        <w:rPr>
          <w:bCs/>
          <w:i/>
        </w:rPr>
        <w:t>var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piešķirt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līdz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desmit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apmaksātām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papildatvaļinājuma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dienām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ar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Padomes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priekšsēdētāja</w:t>
      </w:r>
      <w:proofErr w:type="spellEnd"/>
      <w:r w:rsidRPr="00500DFC">
        <w:rPr>
          <w:bCs/>
          <w:i/>
        </w:rPr>
        <w:t xml:space="preserve"> </w:t>
      </w:r>
      <w:proofErr w:type="spellStart"/>
      <w:r w:rsidRPr="00500DFC">
        <w:rPr>
          <w:bCs/>
          <w:i/>
        </w:rPr>
        <w:t>rīkojumu</w:t>
      </w:r>
      <w:proofErr w:type="spellEnd"/>
      <w:r w:rsidRPr="00500DFC">
        <w:rPr>
          <w:bCs/>
          <w:i/>
        </w:rPr>
        <w:t xml:space="preserve">. </w:t>
      </w:r>
      <w:r>
        <w:rPr>
          <w:bCs/>
          <w:i/>
        </w:rPr>
        <w:t>“</w:t>
      </w:r>
    </w:p>
    <w:p w:rsidR="003D4AB0" w:rsidRPr="00500DFC" w:rsidRDefault="003D4AB0" w:rsidP="003D4AB0">
      <w:pPr>
        <w:autoSpaceDE w:val="0"/>
        <w:autoSpaceDN w:val="0"/>
        <w:adjustRightInd w:val="0"/>
        <w:jc w:val="both"/>
        <w:rPr>
          <w:bCs/>
          <w:i/>
          <w:strike/>
          <w:highlight w:val="yellow"/>
        </w:rPr>
      </w:pPr>
    </w:p>
    <w:p w:rsidR="003D4AB0" w:rsidRPr="00AE48F7" w:rsidRDefault="003D4AB0" w:rsidP="003D4AB0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AE48F7">
        <w:rPr>
          <w:bCs/>
          <w:color w:val="000000"/>
        </w:rPr>
        <w:t>1.1</w:t>
      </w:r>
      <w:r>
        <w:rPr>
          <w:bCs/>
          <w:color w:val="000000"/>
        </w:rPr>
        <w:t>2</w:t>
      </w:r>
      <w:r w:rsidRPr="00AE48F7">
        <w:rPr>
          <w:bCs/>
          <w:color w:val="000000"/>
        </w:rPr>
        <w:t xml:space="preserve">. </w:t>
      </w:r>
      <w:proofErr w:type="spellStart"/>
      <w:r w:rsidRPr="001E28CE">
        <w:t>Papildināt</w:t>
      </w:r>
      <w:proofErr w:type="spellEnd"/>
      <w:r w:rsidRPr="001E28CE">
        <w:t xml:space="preserve"> </w:t>
      </w:r>
      <w:proofErr w:type="spellStart"/>
      <w:r w:rsidRPr="001E28CE">
        <w:t>Noliku</w:t>
      </w:r>
      <w:r>
        <w:t>mu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33.punktu </w:t>
      </w:r>
      <w:proofErr w:type="gramStart"/>
      <w:r>
        <w:t>un</w:t>
      </w:r>
      <w:proofErr w:type="gramEnd"/>
      <w:r>
        <w:t xml:space="preserve"> </w:t>
      </w:r>
      <w:proofErr w:type="spellStart"/>
      <w:r>
        <w:t>izteikt</w:t>
      </w:r>
      <w:proofErr w:type="spellEnd"/>
      <w:r>
        <w:t xml:space="preserve"> to </w:t>
      </w:r>
      <w:proofErr w:type="spellStart"/>
      <w:r>
        <w:t>sekojošā</w:t>
      </w:r>
      <w:proofErr w:type="spellEnd"/>
      <w:r w:rsidRPr="001E28CE">
        <w:t xml:space="preserve"> </w:t>
      </w:r>
      <w:proofErr w:type="spellStart"/>
      <w:r w:rsidRPr="001E28CE">
        <w:t>redakcijā</w:t>
      </w:r>
      <w:proofErr w:type="spellEnd"/>
      <w:r w:rsidRPr="001E28CE">
        <w:t>:</w:t>
      </w:r>
    </w:p>
    <w:p w:rsidR="003D4AB0" w:rsidRPr="001E28CE" w:rsidRDefault="003D4AB0" w:rsidP="003D4AB0">
      <w:pPr>
        <w:jc w:val="both"/>
        <w:rPr>
          <w:i/>
        </w:rPr>
      </w:pPr>
      <w:r w:rsidRPr="001E28CE">
        <w:rPr>
          <w:i/>
        </w:rPr>
        <w:t xml:space="preserve">„33. </w:t>
      </w:r>
      <w:proofErr w:type="spellStart"/>
      <w:r w:rsidRPr="001E28CE">
        <w:rPr>
          <w:i/>
        </w:rPr>
        <w:t>Šajā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Nolikumā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noteiktās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atlīdzības</w:t>
      </w:r>
      <w:proofErr w:type="spellEnd"/>
      <w:r w:rsidRPr="001E28CE">
        <w:rPr>
          <w:i/>
        </w:rPr>
        <w:t xml:space="preserve"> (</w:t>
      </w:r>
      <w:proofErr w:type="spellStart"/>
      <w:r w:rsidRPr="001E28CE">
        <w:rPr>
          <w:i/>
        </w:rPr>
        <w:t>darba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samaksa</w:t>
      </w:r>
      <w:proofErr w:type="spellEnd"/>
      <w:r w:rsidRPr="001E28CE">
        <w:rPr>
          <w:i/>
        </w:rPr>
        <w:t xml:space="preserve">, </w:t>
      </w:r>
      <w:proofErr w:type="spellStart"/>
      <w:r w:rsidRPr="001E28CE">
        <w:rPr>
          <w:i/>
        </w:rPr>
        <w:t>socialās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garantijas</w:t>
      </w:r>
      <w:proofErr w:type="spellEnd"/>
      <w:r w:rsidRPr="001E28CE">
        <w:rPr>
          <w:i/>
        </w:rPr>
        <w:t xml:space="preserve">, </w:t>
      </w:r>
      <w:proofErr w:type="spellStart"/>
      <w:r w:rsidRPr="001E28CE">
        <w:rPr>
          <w:i/>
        </w:rPr>
        <w:t>atvaļinājumi</w:t>
      </w:r>
      <w:proofErr w:type="spellEnd"/>
      <w:r w:rsidRPr="001E28CE">
        <w:rPr>
          <w:i/>
        </w:rPr>
        <w:t xml:space="preserve">) </w:t>
      </w:r>
      <w:proofErr w:type="spellStart"/>
      <w:r w:rsidRPr="001E28CE">
        <w:rPr>
          <w:i/>
        </w:rPr>
        <w:t>maksājumu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apmēru</w:t>
      </w:r>
      <w:proofErr w:type="spellEnd"/>
      <w:r w:rsidRPr="001E28CE">
        <w:rPr>
          <w:i/>
        </w:rPr>
        <w:t xml:space="preserve">, </w:t>
      </w:r>
      <w:proofErr w:type="spellStart"/>
      <w:r w:rsidRPr="001E28CE">
        <w:rPr>
          <w:i/>
        </w:rPr>
        <w:t>tās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noteikšanas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pamatojumu</w:t>
      </w:r>
      <w:proofErr w:type="spellEnd"/>
      <w:r w:rsidRPr="001E28CE">
        <w:rPr>
          <w:i/>
        </w:rPr>
        <w:t xml:space="preserve">, </w:t>
      </w:r>
      <w:proofErr w:type="spellStart"/>
      <w:r w:rsidRPr="001E28CE">
        <w:rPr>
          <w:i/>
        </w:rPr>
        <w:t>kā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arī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laikposmu</w:t>
      </w:r>
      <w:proofErr w:type="spellEnd"/>
      <w:r w:rsidRPr="001E28CE">
        <w:rPr>
          <w:i/>
        </w:rPr>
        <w:t xml:space="preserve">, </w:t>
      </w:r>
      <w:proofErr w:type="spellStart"/>
      <w:r w:rsidRPr="001E28CE">
        <w:rPr>
          <w:i/>
        </w:rPr>
        <w:t>uz</w:t>
      </w:r>
      <w:proofErr w:type="spellEnd"/>
      <w:r w:rsidRPr="001E28CE">
        <w:rPr>
          <w:i/>
        </w:rPr>
        <w:t xml:space="preserve"> kuru </w:t>
      </w:r>
      <w:proofErr w:type="spellStart"/>
      <w:r w:rsidRPr="001E28CE">
        <w:rPr>
          <w:i/>
        </w:rPr>
        <w:t>nosakāms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lastRenderedPageBreak/>
        <w:t>atlīdzības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maksājums</w:t>
      </w:r>
      <w:proofErr w:type="spellEnd"/>
      <w:r w:rsidRPr="001E28CE">
        <w:rPr>
          <w:i/>
        </w:rPr>
        <w:t xml:space="preserve">, </w:t>
      </w:r>
      <w:proofErr w:type="spellStart"/>
      <w:r w:rsidRPr="001E28CE">
        <w:rPr>
          <w:i/>
        </w:rPr>
        <w:t>reglamentē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šis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Nolikums</w:t>
      </w:r>
      <w:proofErr w:type="spellEnd"/>
      <w:r w:rsidRPr="001E28CE">
        <w:rPr>
          <w:i/>
        </w:rPr>
        <w:t xml:space="preserve">, ja </w:t>
      </w:r>
      <w:proofErr w:type="spellStart"/>
      <w:r w:rsidRPr="001E28CE">
        <w:rPr>
          <w:i/>
        </w:rPr>
        <w:t>Likumā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nav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noteikts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citādi</w:t>
      </w:r>
      <w:proofErr w:type="spellEnd"/>
      <w:r w:rsidRPr="001E28CE">
        <w:rPr>
          <w:i/>
        </w:rPr>
        <w:t xml:space="preserve">. </w:t>
      </w:r>
      <w:proofErr w:type="gramStart"/>
      <w:r w:rsidRPr="001E28CE">
        <w:rPr>
          <w:i/>
        </w:rPr>
        <w:t>Ja</w:t>
      </w:r>
      <w:proofErr w:type="gram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šis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Nolikums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nosaka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citādi</w:t>
      </w:r>
      <w:proofErr w:type="spellEnd"/>
      <w:r w:rsidRPr="001E28CE">
        <w:rPr>
          <w:i/>
        </w:rPr>
        <w:t xml:space="preserve">, tad ZPR </w:t>
      </w:r>
      <w:proofErr w:type="spellStart"/>
      <w:r w:rsidRPr="001E28CE">
        <w:rPr>
          <w:i/>
        </w:rPr>
        <w:t>vadās</w:t>
      </w:r>
      <w:proofErr w:type="spellEnd"/>
      <w:r w:rsidRPr="001E28CE">
        <w:rPr>
          <w:i/>
        </w:rPr>
        <w:t xml:space="preserve"> no </w:t>
      </w:r>
      <w:proofErr w:type="spellStart"/>
      <w:r w:rsidRPr="001E28CE">
        <w:rPr>
          <w:i/>
        </w:rPr>
        <w:t>Likumā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noteiktā</w:t>
      </w:r>
      <w:proofErr w:type="spellEnd"/>
      <w:r w:rsidRPr="001E28CE">
        <w:rPr>
          <w:i/>
        </w:rPr>
        <w:t xml:space="preserve"> un </w:t>
      </w:r>
      <w:proofErr w:type="spellStart"/>
      <w:r w:rsidRPr="001E28CE">
        <w:rPr>
          <w:i/>
        </w:rPr>
        <w:t>piemēro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jaunāko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spēkā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esošo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tiesību</w:t>
      </w:r>
      <w:proofErr w:type="spellEnd"/>
      <w:r w:rsidRPr="001E28CE">
        <w:rPr>
          <w:i/>
        </w:rPr>
        <w:t xml:space="preserve"> </w:t>
      </w:r>
      <w:proofErr w:type="spellStart"/>
      <w:r w:rsidRPr="001E28CE">
        <w:rPr>
          <w:i/>
        </w:rPr>
        <w:t>aktu</w:t>
      </w:r>
      <w:proofErr w:type="spellEnd"/>
      <w:r w:rsidRPr="001E28CE">
        <w:rPr>
          <w:i/>
        </w:rPr>
        <w:t>.”</w:t>
      </w:r>
    </w:p>
    <w:p w:rsidR="003D4AB0" w:rsidRPr="00500DFC" w:rsidRDefault="003D4AB0" w:rsidP="003D4AB0">
      <w:pPr>
        <w:spacing w:after="120"/>
        <w:jc w:val="both"/>
        <w:rPr>
          <w:i/>
        </w:rPr>
      </w:pPr>
    </w:p>
    <w:p w:rsidR="003D4AB0" w:rsidRPr="00AE48F7" w:rsidRDefault="003D4AB0" w:rsidP="003D4AB0">
      <w:pPr>
        <w:pStyle w:val="ListParagraph"/>
        <w:numPr>
          <w:ilvl w:val="0"/>
          <w:numId w:val="19"/>
        </w:numPr>
        <w:jc w:val="both"/>
        <w:rPr>
          <w:rFonts w:eastAsia="Times New Roman"/>
          <w:lang w:eastAsia="lv-LV"/>
        </w:rPr>
      </w:pPr>
      <w:proofErr w:type="spellStart"/>
      <w:r w:rsidRPr="00AE48F7">
        <w:rPr>
          <w:bCs/>
          <w:szCs w:val="24"/>
        </w:rPr>
        <w:t>Apstiprināt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sekojošus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grozījumus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Zemgales</w:t>
      </w:r>
      <w:proofErr w:type="spellEnd"/>
      <w:r w:rsidRPr="00AE48F7">
        <w:rPr>
          <w:bCs/>
          <w:szCs w:val="24"/>
        </w:rPr>
        <w:t xml:space="preserve"> plānošanas </w:t>
      </w:r>
      <w:proofErr w:type="spellStart"/>
      <w:r w:rsidRPr="00AE48F7">
        <w:rPr>
          <w:bCs/>
          <w:szCs w:val="24"/>
        </w:rPr>
        <w:t>reģiona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Darba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samaksas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nolikum</w:t>
      </w:r>
      <w:r>
        <w:rPr>
          <w:bCs/>
          <w:szCs w:val="24"/>
        </w:rPr>
        <w:t>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Pielikumā</w:t>
      </w:r>
      <w:proofErr w:type="spellEnd"/>
      <w:r>
        <w:rPr>
          <w:bCs/>
          <w:szCs w:val="24"/>
        </w:rPr>
        <w:t xml:space="preserve"> Nr.1.</w:t>
      </w:r>
      <w:r w:rsidRPr="00AE48F7">
        <w:rPr>
          <w:bCs/>
          <w:szCs w:val="24"/>
        </w:rPr>
        <w:t xml:space="preserve">, </w:t>
      </w:r>
      <w:r>
        <w:rPr>
          <w:bCs/>
          <w:szCs w:val="24"/>
        </w:rPr>
        <w:t>(</w:t>
      </w:r>
      <w:proofErr w:type="spellStart"/>
      <w:r w:rsidRPr="00AE48F7">
        <w:rPr>
          <w:bCs/>
          <w:szCs w:val="24"/>
        </w:rPr>
        <w:t>turpmāk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tekstā</w:t>
      </w:r>
      <w:proofErr w:type="spellEnd"/>
      <w:r w:rsidRPr="00AE48F7">
        <w:rPr>
          <w:bCs/>
          <w:szCs w:val="24"/>
        </w:rPr>
        <w:t xml:space="preserve"> </w:t>
      </w:r>
      <w:r>
        <w:rPr>
          <w:bCs/>
          <w:szCs w:val="24"/>
        </w:rPr>
        <w:t xml:space="preserve"> - </w:t>
      </w:r>
      <w:proofErr w:type="spellStart"/>
      <w:r>
        <w:rPr>
          <w:bCs/>
          <w:szCs w:val="24"/>
        </w:rPr>
        <w:t>P</w:t>
      </w:r>
      <w:r>
        <w:rPr>
          <w:rFonts w:eastAsia="Times New Roman"/>
          <w:lang w:eastAsia="lv-LV"/>
        </w:rPr>
        <w:t>ielikums</w:t>
      </w:r>
      <w:proofErr w:type="spellEnd"/>
      <w:r w:rsidRPr="00AE48F7">
        <w:rPr>
          <w:rFonts w:eastAsia="Times New Roman"/>
          <w:lang w:eastAsia="lv-LV"/>
        </w:rPr>
        <w:t xml:space="preserve"> </w:t>
      </w:r>
      <w:proofErr w:type="spellStart"/>
      <w:r w:rsidRPr="00AE48F7">
        <w:rPr>
          <w:rFonts w:eastAsia="Times New Roman"/>
          <w:lang w:eastAsia="lv-LV"/>
        </w:rPr>
        <w:t>Nr</w:t>
      </w:r>
      <w:proofErr w:type="spellEnd"/>
      <w:r w:rsidRPr="00AE48F7">
        <w:rPr>
          <w:rFonts w:eastAsia="Times New Roman"/>
          <w:lang w:eastAsia="lv-LV"/>
        </w:rPr>
        <w:t>. 1</w:t>
      </w:r>
      <w:r>
        <w:rPr>
          <w:rFonts w:eastAsia="Times New Roman"/>
          <w:lang w:eastAsia="lv-LV"/>
        </w:rPr>
        <w:t>)</w:t>
      </w:r>
      <w:r w:rsidRPr="00AE48F7">
        <w:rPr>
          <w:rFonts w:eastAsia="Times New Roman"/>
          <w:lang w:eastAsia="lv-LV"/>
        </w:rPr>
        <w:t>:</w:t>
      </w:r>
    </w:p>
    <w:p w:rsidR="003D4AB0" w:rsidRPr="00AE48F7" w:rsidRDefault="003D4AB0" w:rsidP="003D4AB0">
      <w:pPr>
        <w:pStyle w:val="ListParagraph"/>
        <w:numPr>
          <w:ilvl w:val="1"/>
          <w:numId w:val="19"/>
        </w:numPr>
        <w:jc w:val="both"/>
        <w:rPr>
          <w:rFonts w:eastAsia="Times New Roman"/>
          <w:szCs w:val="24"/>
          <w:lang w:eastAsia="lv-LV"/>
        </w:rPr>
      </w:pPr>
      <w:proofErr w:type="spellStart"/>
      <w:r w:rsidRPr="00AE48F7">
        <w:rPr>
          <w:bCs/>
          <w:szCs w:val="24"/>
        </w:rPr>
        <w:t>Aizstāt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rFonts w:eastAsia="Times New Roman"/>
          <w:color w:val="000000"/>
          <w:szCs w:val="24"/>
          <w:lang w:eastAsia="lv-LV"/>
        </w:rPr>
        <w:t>tabulas</w:t>
      </w:r>
      <w:proofErr w:type="spellEnd"/>
      <w:r w:rsidRPr="00AE48F7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AE48F7">
        <w:rPr>
          <w:rFonts w:eastAsia="Times New Roman"/>
          <w:color w:val="000000"/>
          <w:szCs w:val="24"/>
          <w:lang w:eastAsia="lv-LV"/>
        </w:rPr>
        <w:t>trešās</w:t>
      </w:r>
      <w:proofErr w:type="spellEnd"/>
      <w:r w:rsidRPr="00AE48F7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AE48F7">
        <w:rPr>
          <w:rFonts w:eastAsia="Times New Roman"/>
          <w:color w:val="000000"/>
          <w:szCs w:val="24"/>
          <w:lang w:eastAsia="lv-LV"/>
        </w:rPr>
        <w:t>kolonnas</w:t>
      </w:r>
      <w:proofErr w:type="spellEnd"/>
      <w:r w:rsidRPr="00AE48F7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AE48F7">
        <w:rPr>
          <w:rFonts w:eastAsia="Times New Roman"/>
          <w:color w:val="000000"/>
          <w:szCs w:val="24"/>
          <w:lang w:eastAsia="lv-LV"/>
        </w:rPr>
        <w:t>nosaukumu</w:t>
      </w:r>
      <w:proofErr w:type="spellEnd"/>
      <w:r w:rsidRPr="00AE48F7">
        <w:rPr>
          <w:bCs/>
          <w:szCs w:val="24"/>
        </w:rPr>
        <w:t xml:space="preserve"> </w:t>
      </w:r>
      <w:r w:rsidRPr="00AE48F7">
        <w:rPr>
          <w:bCs/>
          <w:i/>
          <w:szCs w:val="24"/>
        </w:rPr>
        <w:t xml:space="preserve">„Amata </w:t>
      </w:r>
      <w:proofErr w:type="spellStart"/>
      <w:r w:rsidRPr="00AE48F7">
        <w:rPr>
          <w:bCs/>
          <w:i/>
          <w:szCs w:val="24"/>
        </w:rPr>
        <w:t>saime</w:t>
      </w:r>
      <w:proofErr w:type="spellEnd"/>
      <w:r w:rsidRPr="00AE48F7">
        <w:rPr>
          <w:bCs/>
          <w:i/>
          <w:szCs w:val="24"/>
        </w:rPr>
        <w:t>”</w:t>
      </w:r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ar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nosaukumu</w:t>
      </w:r>
      <w:proofErr w:type="spellEnd"/>
      <w:r w:rsidRPr="00AE48F7">
        <w:rPr>
          <w:bCs/>
          <w:szCs w:val="24"/>
        </w:rPr>
        <w:t xml:space="preserve"> </w:t>
      </w:r>
      <w:r w:rsidRPr="00AE48F7">
        <w:rPr>
          <w:bCs/>
          <w:i/>
          <w:szCs w:val="24"/>
        </w:rPr>
        <w:t>„</w:t>
      </w:r>
      <w:proofErr w:type="spellStart"/>
      <w:r w:rsidRPr="00AE48F7">
        <w:rPr>
          <w:i/>
          <w:szCs w:val="24"/>
        </w:rPr>
        <w:t>Amatu</w:t>
      </w:r>
      <w:proofErr w:type="spellEnd"/>
      <w:r w:rsidRPr="00AE48F7">
        <w:rPr>
          <w:i/>
          <w:szCs w:val="24"/>
        </w:rPr>
        <w:t xml:space="preserve"> </w:t>
      </w:r>
      <w:proofErr w:type="spellStart"/>
      <w:r w:rsidRPr="00AE48F7">
        <w:rPr>
          <w:i/>
          <w:szCs w:val="24"/>
        </w:rPr>
        <w:t>saimes</w:t>
      </w:r>
      <w:proofErr w:type="spellEnd"/>
      <w:r w:rsidRPr="00AE48F7">
        <w:rPr>
          <w:i/>
          <w:szCs w:val="24"/>
        </w:rPr>
        <w:t xml:space="preserve"> (</w:t>
      </w:r>
      <w:proofErr w:type="spellStart"/>
      <w:r w:rsidRPr="00AE48F7">
        <w:rPr>
          <w:i/>
          <w:szCs w:val="24"/>
        </w:rPr>
        <w:t>apakšsaimes</w:t>
      </w:r>
      <w:proofErr w:type="spellEnd"/>
      <w:r w:rsidRPr="00AE48F7">
        <w:rPr>
          <w:i/>
          <w:szCs w:val="24"/>
        </w:rPr>
        <w:t xml:space="preserve">) </w:t>
      </w:r>
      <w:proofErr w:type="spellStart"/>
      <w:r w:rsidRPr="00AE48F7">
        <w:rPr>
          <w:i/>
          <w:szCs w:val="24"/>
        </w:rPr>
        <w:t>numurs</w:t>
      </w:r>
      <w:proofErr w:type="spellEnd"/>
      <w:r w:rsidRPr="00AE48F7">
        <w:rPr>
          <w:i/>
          <w:szCs w:val="24"/>
        </w:rPr>
        <w:t>”</w:t>
      </w:r>
      <w:r w:rsidRPr="00AE48F7">
        <w:rPr>
          <w:szCs w:val="24"/>
        </w:rPr>
        <w:t>.</w:t>
      </w:r>
    </w:p>
    <w:p w:rsidR="003D4AB0" w:rsidRPr="00AE48F7" w:rsidRDefault="003D4AB0" w:rsidP="003D4AB0">
      <w:pPr>
        <w:pStyle w:val="ListParagraph"/>
        <w:numPr>
          <w:ilvl w:val="1"/>
          <w:numId w:val="19"/>
        </w:numPr>
        <w:jc w:val="both"/>
        <w:rPr>
          <w:rFonts w:eastAsia="Times New Roman"/>
          <w:color w:val="000000"/>
          <w:szCs w:val="24"/>
          <w:lang w:eastAsia="lv-LV"/>
        </w:rPr>
      </w:pPr>
      <w:proofErr w:type="spellStart"/>
      <w:r w:rsidRPr="00AE48F7">
        <w:rPr>
          <w:szCs w:val="24"/>
        </w:rPr>
        <w:t>Papildināt</w:t>
      </w:r>
      <w:proofErr w:type="spellEnd"/>
      <w:r w:rsidRPr="00AE48F7">
        <w:rPr>
          <w:szCs w:val="24"/>
        </w:rPr>
        <w:t xml:space="preserve"> </w:t>
      </w:r>
      <w:proofErr w:type="spellStart"/>
      <w:r w:rsidRPr="00AE48F7">
        <w:rPr>
          <w:szCs w:val="24"/>
        </w:rPr>
        <w:t>tabulas</w:t>
      </w:r>
      <w:proofErr w:type="spellEnd"/>
      <w:r w:rsidRPr="00AE48F7">
        <w:rPr>
          <w:szCs w:val="24"/>
        </w:rPr>
        <w:t xml:space="preserve"> </w:t>
      </w:r>
      <w:proofErr w:type="spellStart"/>
      <w:r w:rsidRPr="00AE48F7">
        <w:rPr>
          <w:szCs w:val="24"/>
        </w:rPr>
        <w:t>ceturtās</w:t>
      </w:r>
      <w:proofErr w:type="spellEnd"/>
      <w:r w:rsidRPr="00AE48F7">
        <w:rPr>
          <w:szCs w:val="24"/>
        </w:rPr>
        <w:t xml:space="preserve"> </w:t>
      </w:r>
      <w:proofErr w:type="spellStart"/>
      <w:r w:rsidRPr="00AE48F7">
        <w:rPr>
          <w:szCs w:val="24"/>
        </w:rPr>
        <w:t>kolonnas</w:t>
      </w:r>
      <w:proofErr w:type="spellEnd"/>
      <w:r w:rsidRPr="00AE48F7">
        <w:rPr>
          <w:szCs w:val="24"/>
        </w:rPr>
        <w:t xml:space="preserve"> </w:t>
      </w:r>
      <w:proofErr w:type="spellStart"/>
      <w:r w:rsidRPr="00AE48F7">
        <w:rPr>
          <w:szCs w:val="24"/>
        </w:rPr>
        <w:t>nosaukumu</w:t>
      </w:r>
      <w:proofErr w:type="spellEnd"/>
      <w:r w:rsidRPr="00AE48F7">
        <w:rPr>
          <w:szCs w:val="24"/>
        </w:rPr>
        <w:t xml:space="preserve"> „</w:t>
      </w:r>
      <w:proofErr w:type="spellStart"/>
      <w:r w:rsidRPr="00AE48F7">
        <w:rPr>
          <w:bCs/>
          <w:szCs w:val="24"/>
        </w:rPr>
        <w:t>Līmenis</w:t>
      </w:r>
      <w:proofErr w:type="spellEnd"/>
      <w:r w:rsidRPr="00AE48F7">
        <w:rPr>
          <w:bCs/>
          <w:szCs w:val="24"/>
        </w:rPr>
        <w:t xml:space="preserve">” </w:t>
      </w:r>
      <w:proofErr w:type="spellStart"/>
      <w:r w:rsidRPr="00AE48F7">
        <w:rPr>
          <w:bCs/>
          <w:szCs w:val="24"/>
        </w:rPr>
        <w:t>ar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nosaukumu</w:t>
      </w:r>
      <w:proofErr w:type="spellEnd"/>
      <w:r w:rsidRPr="00AE48F7">
        <w:rPr>
          <w:bCs/>
          <w:szCs w:val="24"/>
        </w:rPr>
        <w:t xml:space="preserve"> „</w:t>
      </w:r>
      <w:proofErr w:type="spellStart"/>
      <w:r w:rsidRPr="00AE48F7">
        <w:rPr>
          <w:bCs/>
          <w:color w:val="000000"/>
          <w:szCs w:val="24"/>
        </w:rPr>
        <w:t>Līmeņa</w:t>
      </w:r>
      <w:proofErr w:type="spellEnd"/>
      <w:r w:rsidRPr="00AE48F7">
        <w:rPr>
          <w:bCs/>
          <w:color w:val="000000"/>
          <w:szCs w:val="24"/>
        </w:rPr>
        <w:t xml:space="preserve"> </w:t>
      </w:r>
      <w:proofErr w:type="spellStart"/>
      <w:r w:rsidRPr="00AE48F7">
        <w:rPr>
          <w:bCs/>
          <w:color w:val="000000"/>
          <w:szCs w:val="24"/>
        </w:rPr>
        <w:t>raksturojums</w:t>
      </w:r>
      <w:proofErr w:type="spellEnd"/>
      <w:r w:rsidRPr="00AE48F7">
        <w:rPr>
          <w:bCs/>
          <w:color w:val="000000"/>
          <w:szCs w:val="24"/>
        </w:rPr>
        <w:t xml:space="preserve">” un </w:t>
      </w:r>
      <w:proofErr w:type="spellStart"/>
      <w:r w:rsidRPr="00AE48F7">
        <w:rPr>
          <w:bCs/>
          <w:color w:val="000000"/>
          <w:szCs w:val="24"/>
        </w:rPr>
        <w:t>izteikt</w:t>
      </w:r>
      <w:proofErr w:type="spellEnd"/>
      <w:r w:rsidRPr="00AE48F7">
        <w:rPr>
          <w:bCs/>
          <w:color w:val="000000"/>
          <w:szCs w:val="24"/>
        </w:rPr>
        <w:t xml:space="preserve"> to </w:t>
      </w:r>
      <w:proofErr w:type="spellStart"/>
      <w:r w:rsidRPr="00AE48F7">
        <w:rPr>
          <w:bCs/>
          <w:color w:val="000000"/>
          <w:szCs w:val="24"/>
        </w:rPr>
        <w:t>šādā</w:t>
      </w:r>
      <w:proofErr w:type="spellEnd"/>
      <w:r w:rsidRPr="00AE48F7">
        <w:rPr>
          <w:bCs/>
          <w:color w:val="000000"/>
          <w:szCs w:val="24"/>
        </w:rPr>
        <w:t xml:space="preserve"> </w:t>
      </w:r>
      <w:proofErr w:type="spellStart"/>
      <w:r w:rsidRPr="00AE48F7">
        <w:rPr>
          <w:bCs/>
          <w:color w:val="000000"/>
          <w:szCs w:val="24"/>
        </w:rPr>
        <w:t>redakcijā</w:t>
      </w:r>
      <w:proofErr w:type="spellEnd"/>
      <w:r w:rsidRPr="00AE48F7">
        <w:rPr>
          <w:bCs/>
          <w:color w:val="000000"/>
          <w:szCs w:val="24"/>
        </w:rPr>
        <w:t xml:space="preserve">: </w:t>
      </w:r>
      <w:r w:rsidRPr="00AE48F7">
        <w:rPr>
          <w:bCs/>
          <w:i/>
          <w:color w:val="000000"/>
          <w:szCs w:val="24"/>
        </w:rPr>
        <w:t>„</w:t>
      </w:r>
      <w:proofErr w:type="spellStart"/>
      <w:r w:rsidRPr="00AE48F7">
        <w:rPr>
          <w:bCs/>
          <w:i/>
          <w:color w:val="000000"/>
          <w:szCs w:val="24"/>
        </w:rPr>
        <w:t>Līmenis</w:t>
      </w:r>
      <w:proofErr w:type="spellEnd"/>
      <w:r w:rsidRPr="00AE48F7">
        <w:rPr>
          <w:bCs/>
          <w:i/>
          <w:color w:val="000000"/>
          <w:szCs w:val="24"/>
        </w:rPr>
        <w:t>/</w:t>
      </w:r>
      <w:proofErr w:type="spellStart"/>
      <w:r w:rsidRPr="00AE48F7">
        <w:rPr>
          <w:bCs/>
          <w:i/>
          <w:color w:val="000000"/>
          <w:szCs w:val="24"/>
        </w:rPr>
        <w:t>Līmeņa</w:t>
      </w:r>
      <w:proofErr w:type="spellEnd"/>
      <w:r w:rsidRPr="00AE48F7">
        <w:rPr>
          <w:bCs/>
          <w:i/>
          <w:color w:val="000000"/>
          <w:szCs w:val="24"/>
        </w:rPr>
        <w:t xml:space="preserve"> </w:t>
      </w:r>
      <w:proofErr w:type="spellStart"/>
      <w:r w:rsidRPr="00AE48F7">
        <w:rPr>
          <w:bCs/>
          <w:i/>
          <w:color w:val="000000"/>
          <w:szCs w:val="24"/>
        </w:rPr>
        <w:t>raksturojums</w:t>
      </w:r>
      <w:proofErr w:type="spellEnd"/>
      <w:r w:rsidRPr="00AE48F7">
        <w:rPr>
          <w:bCs/>
          <w:i/>
          <w:color w:val="000000"/>
          <w:szCs w:val="24"/>
        </w:rPr>
        <w:t>“</w:t>
      </w:r>
      <w:r w:rsidRPr="00AE48F7">
        <w:rPr>
          <w:bCs/>
          <w:color w:val="000000"/>
          <w:szCs w:val="24"/>
        </w:rPr>
        <w:t>.</w:t>
      </w:r>
    </w:p>
    <w:p w:rsidR="003D4AB0" w:rsidRPr="00B5020E" w:rsidRDefault="003D4AB0" w:rsidP="003D4AB0">
      <w:pPr>
        <w:pStyle w:val="ListParagraph"/>
        <w:numPr>
          <w:ilvl w:val="1"/>
          <w:numId w:val="19"/>
        </w:numPr>
        <w:jc w:val="both"/>
        <w:rPr>
          <w:rFonts w:eastAsia="Times New Roman"/>
          <w:color w:val="000000"/>
          <w:szCs w:val="24"/>
          <w:lang w:eastAsia="lv-LV"/>
        </w:rPr>
      </w:pPr>
      <w:proofErr w:type="spellStart"/>
      <w:r w:rsidRPr="00AE48F7">
        <w:rPr>
          <w:bCs/>
          <w:szCs w:val="24"/>
        </w:rPr>
        <w:t>Aizstāt</w:t>
      </w:r>
      <w:proofErr w:type="spellEnd"/>
      <w:r w:rsidRPr="00AE48F7">
        <w:rPr>
          <w:rFonts w:eastAsia="Times New Roman"/>
          <w:szCs w:val="24"/>
          <w:lang w:eastAsia="lv-LV"/>
        </w:rPr>
        <w:t xml:space="preserve"> </w:t>
      </w:r>
      <w:proofErr w:type="spellStart"/>
      <w:r w:rsidRPr="00AE48F7">
        <w:rPr>
          <w:rFonts w:eastAsia="Times New Roman"/>
          <w:color w:val="000000"/>
          <w:szCs w:val="24"/>
          <w:lang w:eastAsia="lv-LV"/>
        </w:rPr>
        <w:t>tabulas</w:t>
      </w:r>
      <w:proofErr w:type="spellEnd"/>
      <w:r w:rsidRPr="00AE48F7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AE48F7">
        <w:rPr>
          <w:rFonts w:eastAsia="Times New Roman"/>
          <w:color w:val="000000"/>
          <w:szCs w:val="24"/>
          <w:lang w:eastAsia="lv-LV"/>
        </w:rPr>
        <w:t>piektās</w:t>
      </w:r>
      <w:proofErr w:type="spellEnd"/>
      <w:r w:rsidRPr="00AE48F7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AE48F7">
        <w:rPr>
          <w:rFonts w:eastAsia="Times New Roman"/>
          <w:color w:val="000000"/>
          <w:szCs w:val="24"/>
          <w:lang w:eastAsia="lv-LV"/>
        </w:rPr>
        <w:t>kolonnas</w:t>
      </w:r>
      <w:proofErr w:type="spellEnd"/>
      <w:r w:rsidRPr="00AE48F7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AE48F7">
        <w:rPr>
          <w:rFonts w:eastAsia="Times New Roman"/>
          <w:color w:val="000000"/>
          <w:szCs w:val="24"/>
          <w:lang w:eastAsia="lv-LV"/>
        </w:rPr>
        <w:t>nosaukumu</w:t>
      </w:r>
      <w:proofErr w:type="spellEnd"/>
      <w:r w:rsidRPr="00AE48F7">
        <w:rPr>
          <w:bCs/>
          <w:szCs w:val="24"/>
        </w:rPr>
        <w:t xml:space="preserve"> </w:t>
      </w:r>
      <w:r w:rsidRPr="00AE48F7">
        <w:rPr>
          <w:bCs/>
          <w:i/>
          <w:szCs w:val="24"/>
        </w:rPr>
        <w:t>„</w:t>
      </w:r>
      <w:proofErr w:type="spellStart"/>
      <w:r w:rsidRPr="00AE48F7">
        <w:rPr>
          <w:bCs/>
          <w:i/>
          <w:szCs w:val="24"/>
        </w:rPr>
        <w:t>Mēnešalgas</w:t>
      </w:r>
      <w:proofErr w:type="spellEnd"/>
      <w:r w:rsidRPr="00AE48F7">
        <w:rPr>
          <w:bCs/>
          <w:i/>
          <w:szCs w:val="24"/>
        </w:rPr>
        <w:t xml:space="preserve"> </w:t>
      </w:r>
      <w:proofErr w:type="spellStart"/>
      <w:r w:rsidRPr="00AE48F7">
        <w:rPr>
          <w:bCs/>
          <w:i/>
          <w:szCs w:val="24"/>
        </w:rPr>
        <w:t>grupa</w:t>
      </w:r>
      <w:proofErr w:type="spellEnd"/>
      <w:proofErr w:type="gramStart"/>
      <w:r w:rsidRPr="00AE48F7">
        <w:rPr>
          <w:bCs/>
          <w:i/>
          <w:szCs w:val="24"/>
        </w:rPr>
        <w:t>“</w:t>
      </w:r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ar</w:t>
      </w:r>
      <w:proofErr w:type="spellEnd"/>
      <w:proofErr w:type="gram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nosaukumu</w:t>
      </w:r>
      <w:proofErr w:type="spellEnd"/>
      <w:r w:rsidRPr="00AE48F7">
        <w:rPr>
          <w:bCs/>
          <w:szCs w:val="24"/>
        </w:rPr>
        <w:t xml:space="preserve"> </w:t>
      </w:r>
      <w:r w:rsidRPr="00AE48F7">
        <w:rPr>
          <w:bCs/>
          <w:i/>
          <w:szCs w:val="24"/>
        </w:rPr>
        <w:t>„</w:t>
      </w:r>
      <w:proofErr w:type="spellStart"/>
      <w:r w:rsidRPr="00AE48F7">
        <w:rPr>
          <w:bCs/>
          <w:i/>
          <w:szCs w:val="24"/>
        </w:rPr>
        <w:t>Maksimālā</w:t>
      </w:r>
      <w:proofErr w:type="spellEnd"/>
      <w:r w:rsidRPr="00AE48F7">
        <w:rPr>
          <w:bCs/>
          <w:i/>
          <w:szCs w:val="24"/>
        </w:rPr>
        <w:t xml:space="preserve"> </w:t>
      </w:r>
      <w:proofErr w:type="spellStart"/>
      <w:r w:rsidRPr="00AE48F7">
        <w:rPr>
          <w:bCs/>
          <w:i/>
          <w:szCs w:val="24"/>
        </w:rPr>
        <w:t>mēnešalgu</w:t>
      </w:r>
      <w:proofErr w:type="spellEnd"/>
      <w:r w:rsidRPr="00AE48F7">
        <w:rPr>
          <w:bCs/>
          <w:i/>
          <w:szCs w:val="24"/>
        </w:rPr>
        <w:t xml:space="preserve"> </w:t>
      </w:r>
      <w:proofErr w:type="spellStart"/>
      <w:r w:rsidRPr="00AE48F7">
        <w:rPr>
          <w:bCs/>
          <w:i/>
          <w:szCs w:val="24"/>
        </w:rPr>
        <w:t>grupa</w:t>
      </w:r>
      <w:proofErr w:type="spellEnd"/>
      <w:r w:rsidRPr="00AE48F7">
        <w:rPr>
          <w:bCs/>
          <w:i/>
          <w:szCs w:val="24"/>
        </w:rPr>
        <w:t>“</w:t>
      </w:r>
      <w:r w:rsidRPr="00AE48F7">
        <w:rPr>
          <w:bCs/>
          <w:szCs w:val="24"/>
        </w:rPr>
        <w:t>.</w:t>
      </w:r>
    </w:p>
    <w:p w:rsidR="003D4AB0" w:rsidRPr="003D4AB0" w:rsidRDefault="003D4AB0" w:rsidP="003D4AB0">
      <w:pPr>
        <w:pStyle w:val="ListParagraph"/>
        <w:numPr>
          <w:ilvl w:val="1"/>
          <w:numId w:val="19"/>
        </w:numPr>
        <w:jc w:val="both"/>
        <w:rPr>
          <w:rFonts w:eastAsia="Times New Roman"/>
          <w:i/>
          <w:szCs w:val="24"/>
          <w:lang w:eastAsia="lv-LV"/>
        </w:rPr>
      </w:pPr>
      <w:proofErr w:type="spellStart"/>
      <w:r>
        <w:rPr>
          <w:bCs/>
          <w:szCs w:val="24"/>
        </w:rPr>
        <w:t>Precizēt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amata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nosaukumam</w:t>
      </w:r>
      <w:proofErr w:type="spellEnd"/>
      <w:r>
        <w:rPr>
          <w:bCs/>
          <w:szCs w:val="24"/>
        </w:rPr>
        <w:t xml:space="preserve"> Nr.15. “</w:t>
      </w:r>
      <w:proofErr w:type="spellStart"/>
      <w:r>
        <w:rPr>
          <w:bCs/>
          <w:szCs w:val="24"/>
        </w:rPr>
        <w:t>Projektu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vadītājs</w:t>
      </w:r>
      <w:proofErr w:type="spellEnd"/>
      <w:r>
        <w:rPr>
          <w:bCs/>
          <w:szCs w:val="24"/>
        </w:rPr>
        <w:t>” :</w:t>
      </w:r>
    </w:p>
    <w:p w:rsidR="003D4AB0" w:rsidRPr="003D4AB0" w:rsidRDefault="003D4AB0" w:rsidP="003D4AB0">
      <w:pPr>
        <w:pStyle w:val="ListParagraph"/>
        <w:numPr>
          <w:ilvl w:val="2"/>
          <w:numId w:val="19"/>
        </w:numPr>
        <w:jc w:val="both"/>
        <w:rPr>
          <w:rFonts w:eastAsia="Times New Roman"/>
          <w:i/>
          <w:szCs w:val="24"/>
          <w:lang w:eastAsia="lv-LV"/>
        </w:rPr>
      </w:pPr>
      <w:proofErr w:type="spellStart"/>
      <w:r>
        <w:rPr>
          <w:bCs/>
          <w:szCs w:val="24"/>
        </w:rPr>
        <w:t>līmeni</w:t>
      </w:r>
      <w:proofErr w:type="spellEnd"/>
      <w:r>
        <w:rPr>
          <w:bCs/>
          <w:szCs w:val="24"/>
        </w:rPr>
        <w:t xml:space="preserve"> / </w:t>
      </w:r>
      <w:proofErr w:type="spellStart"/>
      <w:r>
        <w:rPr>
          <w:bCs/>
          <w:szCs w:val="24"/>
        </w:rPr>
        <w:t>līmeņa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raksturojumu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sekojošā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redakcijā</w:t>
      </w:r>
      <w:proofErr w:type="spellEnd"/>
      <w:r>
        <w:rPr>
          <w:bCs/>
          <w:szCs w:val="24"/>
        </w:rPr>
        <w:t>: “</w:t>
      </w:r>
      <w:r w:rsidRPr="00B5020E">
        <w:rPr>
          <w:bCs/>
          <w:i/>
          <w:szCs w:val="24"/>
        </w:rPr>
        <w:t xml:space="preserve">III A - Vada </w:t>
      </w:r>
      <w:proofErr w:type="spellStart"/>
      <w:r w:rsidRPr="00B5020E">
        <w:rPr>
          <w:bCs/>
          <w:i/>
          <w:szCs w:val="24"/>
        </w:rPr>
        <w:t>lielus</w:t>
      </w:r>
      <w:proofErr w:type="spellEnd"/>
      <w:r w:rsidRPr="00B5020E">
        <w:rPr>
          <w:bCs/>
          <w:i/>
          <w:szCs w:val="24"/>
        </w:rPr>
        <w:t xml:space="preserve">, </w:t>
      </w:r>
      <w:proofErr w:type="spellStart"/>
      <w:r w:rsidRPr="00B5020E">
        <w:rPr>
          <w:bCs/>
          <w:i/>
          <w:szCs w:val="24"/>
        </w:rPr>
        <w:t>sarežģītus</w:t>
      </w:r>
      <w:proofErr w:type="spellEnd"/>
      <w:r w:rsidRPr="00B5020E">
        <w:rPr>
          <w:bCs/>
          <w:i/>
          <w:szCs w:val="24"/>
        </w:rPr>
        <w:t xml:space="preserve"> </w:t>
      </w:r>
      <w:proofErr w:type="spellStart"/>
      <w:r w:rsidRPr="00B5020E">
        <w:rPr>
          <w:bCs/>
          <w:i/>
          <w:szCs w:val="24"/>
        </w:rPr>
        <w:t>nestandarta</w:t>
      </w:r>
      <w:proofErr w:type="spellEnd"/>
      <w:r w:rsidRPr="00B5020E">
        <w:rPr>
          <w:bCs/>
          <w:i/>
          <w:szCs w:val="24"/>
        </w:rPr>
        <w:t xml:space="preserve">  </w:t>
      </w:r>
      <w:proofErr w:type="spellStart"/>
      <w:r w:rsidRPr="00B5020E">
        <w:rPr>
          <w:bCs/>
          <w:i/>
          <w:szCs w:val="24"/>
        </w:rPr>
        <w:t>projektus</w:t>
      </w:r>
      <w:proofErr w:type="spellEnd"/>
      <w:r w:rsidRPr="00B5020E">
        <w:rPr>
          <w:bCs/>
          <w:i/>
          <w:szCs w:val="24"/>
        </w:rPr>
        <w:t>”</w:t>
      </w:r>
      <w:r w:rsidRPr="00B5020E">
        <w:rPr>
          <w:bCs/>
          <w:szCs w:val="24"/>
        </w:rPr>
        <w:t xml:space="preserve"> , </w:t>
      </w:r>
    </w:p>
    <w:p w:rsidR="003D4AB0" w:rsidRPr="00B5020E" w:rsidRDefault="003D4AB0" w:rsidP="003D4AB0">
      <w:pPr>
        <w:pStyle w:val="ListParagraph"/>
        <w:numPr>
          <w:ilvl w:val="2"/>
          <w:numId w:val="19"/>
        </w:numPr>
        <w:jc w:val="both"/>
        <w:rPr>
          <w:rFonts w:eastAsia="Times New Roman"/>
          <w:i/>
          <w:szCs w:val="24"/>
          <w:lang w:eastAsia="lv-LV"/>
        </w:rPr>
      </w:pPr>
      <w:proofErr w:type="spellStart"/>
      <w:proofErr w:type="gramStart"/>
      <w:r w:rsidRPr="00B5020E">
        <w:rPr>
          <w:bCs/>
          <w:szCs w:val="24"/>
        </w:rPr>
        <w:t>maksimālo</w:t>
      </w:r>
      <w:proofErr w:type="spellEnd"/>
      <w:proofErr w:type="gramEnd"/>
      <w:r w:rsidRPr="00B5020E">
        <w:rPr>
          <w:bCs/>
          <w:szCs w:val="24"/>
        </w:rPr>
        <w:t xml:space="preserve"> </w:t>
      </w:r>
      <w:proofErr w:type="spellStart"/>
      <w:r w:rsidRPr="00B5020E">
        <w:rPr>
          <w:bCs/>
          <w:szCs w:val="24"/>
        </w:rPr>
        <w:t>mēnešalgu</w:t>
      </w:r>
      <w:proofErr w:type="spellEnd"/>
      <w:r w:rsidRPr="00B5020E">
        <w:rPr>
          <w:bCs/>
          <w:szCs w:val="24"/>
        </w:rPr>
        <w:t xml:space="preserve"> </w:t>
      </w:r>
      <w:proofErr w:type="spellStart"/>
      <w:r w:rsidRPr="00B5020E">
        <w:rPr>
          <w:bCs/>
          <w:szCs w:val="24"/>
        </w:rPr>
        <w:t>grupu</w:t>
      </w:r>
      <w:proofErr w:type="spellEnd"/>
      <w:r w:rsidRPr="00B5020E">
        <w:rPr>
          <w:bCs/>
          <w:szCs w:val="24"/>
        </w:rPr>
        <w:t xml:space="preserve"> </w:t>
      </w:r>
      <w:proofErr w:type="spellStart"/>
      <w:r w:rsidRPr="00B5020E">
        <w:rPr>
          <w:bCs/>
          <w:szCs w:val="24"/>
        </w:rPr>
        <w:t>sekojošā</w:t>
      </w:r>
      <w:proofErr w:type="spellEnd"/>
      <w:r w:rsidRPr="00B5020E">
        <w:rPr>
          <w:bCs/>
          <w:szCs w:val="24"/>
        </w:rPr>
        <w:t xml:space="preserve"> </w:t>
      </w:r>
      <w:proofErr w:type="spellStart"/>
      <w:r w:rsidRPr="00B5020E">
        <w:rPr>
          <w:bCs/>
          <w:szCs w:val="24"/>
        </w:rPr>
        <w:t>redakcijā</w:t>
      </w:r>
      <w:proofErr w:type="spellEnd"/>
      <w:r w:rsidRPr="00B5020E">
        <w:rPr>
          <w:bCs/>
          <w:szCs w:val="24"/>
        </w:rPr>
        <w:t xml:space="preserve"> </w:t>
      </w:r>
      <w:r w:rsidRPr="00B5020E">
        <w:rPr>
          <w:bCs/>
          <w:i/>
          <w:szCs w:val="24"/>
        </w:rPr>
        <w:t xml:space="preserve">“11”. </w:t>
      </w:r>
    </w:p>
    <w:p w:rsidR="003D4AB0" w:rsidRDefault="003D4AB0" w:rsidP="003D4AB0">
      <w:pPr>
        <w:numPr>
          <w:ilvl w:val="1"/>
          <w:numId w:val="19"/>
        </w:numPr>
        <w:spacing w:after="120"/>
        <w:jc w:val="both"/>
      </w:pPr>
      <w:proofErr w:type="spellStart"/>
      <w:r>
        <w:t>Dzēst</w:t>
      </w:r>
      <w:proofErr w:type="spellEnd"/>
      <w:r>
        <w:t xml:space="preserve"> </w:t>
      </w:r>
      <w:proofErr w:type="spellStart"/>
      <w:r>
        <w:t>amata</w:t>
      </w:r>
      <w:proofErr w:type="spellEnd"/>
      <w:r>
        <w:t xml:space="preserve"> </w:t>
      </w:r>
      <w:proofErr w:type="spellStart"/>
      <w:r>
        <w:t>nosaukumus</w:t>
      </w:r>
      <w:proofErr w:type="spellEnd"/>
      <w:r>
        <w:t xml:space="preserve">: </w:t>
      </w:r>
      <w:r w:rsidRPr="00B5020E">
        <w:rPr>
          <w:i/>
        </w:rPr>
        <w:t>Nr.9.</w:t>
      </w:r>
      <w:r>
        <w:t xml:space="preserve"> </w:t>
      </w:r>
      <w:r w:rsidRPr="00500DFC">
        <w:rPr>
          <w:i/>
        </w:rPr>
        <w:t>“</w:t>
      </w:r>
      <w:proofErr w:type="spellStart"/>
      <w:r w:rsidRPr="00500DFC">
        <w:rPr>
          <w:i/>
        </w:rPr>
        <w:t>Attīstības</w:t>
      </w:r>
      <w:proofErr w:type="spellEnd"/>
      <w:r w:rsidRPr="00500DFC">
        <w:rPr>
          <w:i/>
        </w:rPr>
        <w:t xml:space="preserve"> </w:t>
      </w:r>
      <w:proofErr w:type="spellStart"/>
      <w:r w:rsidRPr="00500DFC">
        <w:rPr>
          <w:i/>
        </w:rPr>
        <w:t>nodaļas</w:t>
      </w:r>
      <w:proofErr w:type="spellEnd"/>
      <w:r w:rsidRPr="00500DFC">
        <w:rPr>
          <w:i/>
        </w:rPr>
        <w:t xml:space="preserve"> </w:t>
      </w:r>
      <w:proofErr w:type="spellStart"/>
      <w:r w:rsidRPr="00500DFC">
        <w:rPr>
          <w:i/>
        </w:rPr>
        <w:t>vadītāja</w:t>
      </w:r>
      <w:proofErr w:type="spellEnd"/>
      <w:r w:rsidRPr="00500DFC">
        <w:rPr>
          <w:i/>
        </w:rPr>
        <w:t xml:space="preserve"> </w:t>
      </w:r>
      <w:proofErr w:type="spellStart"/>
      <w:r w:rsidRPr="00500DFC">
        <w:rPr>
          <w:i/>
        </w:rPr>
        <w:t>vietnieks</w:t>
      </w:r>
      <w:proofErr w:type="spellEnd"/>
      <w:r w:rsidRPr="00500DFC">
        <w:rPr>
          <w:i/>
        </w:rPr>
        <w:t>”,</w:t>
      </w:r>
      <w:r>
        <w:rPr>
          <w:i/>
        </w:rPr>
        <w:t xml:space="preserve"> Nr.10.</w:t>
      </w:r>
      <w:r w:rsidRPr="00500DFC">
        <w:rPr>
          <w:i/>
        </w:rPr>
        <w:t xml:space="preserve"> “</w:t>
      </w:r>
      <w:proofErr w:type="spellStart"/>
      <w:r w:rsidRPr="00500DFC">
        <w:rPr>
          <w:i/>
        </w:rPr>
        <w:t>Telpiskās</w:t>
      </w:r>
      <w:proofErr w:type="spellEnd"/>
      <w:r w:rsidRPr="00500DFC">
        <w:rPr>
          <w:i/>
        </w:rPr>
        <w:t xml:space="preserve"> </w:t>
      </w:r>
      <w:proofErr w:type="spellStart"/>
      <w:r w:rsidRPr="00500DFC">
        <w:rPr>
          <w:i/>
        </w:rPr>
        <w:t>attīstības</w:t>
      </w:r>
      <w:proofErr w:type="spellEnd"/>
      <w:r w:rsidRPr="00500DFC">
        <w:rPr>
          <w:i/>
        </w:rPr>
        <w:t xml:space="preserve"> </w:t>
      </w:r>
      <w:proofErr w:type="spellStart"/>
      <w:r w:rsidRPr="00500DFC">
        <w:rPr>
          <w:i/>
        </w:rPr>
        <w:t>plānotājs</w:t>
      </w:r>
      <w:proofErr w:type="spellEnd"/>
      <w:r w:rsidRPr="00500DFC">
        <w:rPr>
          <w:i/>
        </w:rPr>
        <w:t>”,</w:t>
      </w:r>
      <w:r>
        <w:rPr>
          <w:i/>
        </w:rPr>
        <w:t xml:space="preserve"> Nr.14. </w:t>
      </w:r>
      <w:r w:rsidRPr="00500DFC">
        <w:rPr>
          <w:i/>
        </w:rPr>
        <w:t>“</w:t>
      </w:r>
      <w:proofErr w:type="spellStart"/>
      <w:r>
        <w:rPr>
          <w:i/>
        </w:rPr>
        <w:t>P</w:t>
      </w:r>
      <w:r w:rsidRPr="00500DFC">
        <w:rPr>
          <w:i/>
        </w:rPr>
        <w:t>rojekta</w:t>
      </w:r>
      <w:proofErr w:type="spellEnd"/>
      <w:r w:rsidRPr="00500DFC">
        <w:rPr>
          <w:i/>
        </w:rPr>
        <w:t xml:space="preserve"> </w:t>
      </w:r>
      <w:proofErr w:type="spellStart"/>
      <w:r w:rsidRPr="00500DFC">
        <w:rPr>
          <w:i/>
        </w:rPr>
        <w:t>vadītājs</w:t>
      </w:r>
      <w:proofErr w:type="spellEnd"/>
      <w:r>
        <w:rPr>
          <w:i/>
        </w:rPr>
        <w:t>”</w:t>
      </w:r>
      <w:r w:rsidRPr="00500DFC">
        <w:rPr>
          <w:i/>
        </w:rPr>
        <w:t xml:space="preserve">, </w:t>
      </w:r>
      <w:r>
        <w:rPr>
          <w:i/>
        </w:rPr>
        <w:t xml:space="preserve">Nr.18. </w:t>
      </w:r>
      <w:r w:rsidRPr="00500DFC">
        <w:rPr>
          <w:i/>
        </w:rPr>
        <w:t>“</w:t>
      </w:r>
      <w:r>
        <w:rPr>
          <w:i/>
        </w:rPr>
        <w:t>F</w:t>
      </w:r>
      <w:r w:rsidRPr="00500DFC">
        <w:rPr>
          <w:i/>
        </w:rPr>
        <w:t xml:space="preserve">inanšu </w:t>
      </w:r>
      <w:proofErr w:type="spellStart"/>
      <w:r w:rsidRPr="00500DFC">
        <w:rPr>
          <w:i/>
        </w:rPr>
        <w:t>ekonomists</w:t>
      </w:r>
      <w:proofErr w:type="spellEnd"/>
      <w:r w:rsidRPr="00500DFC">
        <w:rPr>
          <w:i/>
        </w:rPr>
        <w:t xml:space="preserve">”, </w:t>
      </w:r>
      <w:r>
        <w:rPr>
          <w:i/>
        </w:rPr>
        <w:t>Nr.23. “</w:t>
      </w:r>
      <w:proofErr w:type="spellStart"/>
      <w:r>
        <w:rPr>
          <w:i/>
        </w:rPr>
        <w:t>Informācijas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centra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speciālists</w:t>
      </w:r>
      <w:proofErr w:type="spellEnd"/>
      <w:r>
        <w:rPr>
          <w:i/>
        </w:rPr>
        <w:t>”</w:t>
      </w:r>
      <w:r w:rsidRPr="00500DFC">
        <w:rPr>
          <w:i/>
        </w:rPr>
        <w:t xml:space="preserve"> </w:t>
      </w:r>
      <w:r>
        <w:rPr>
          <w:i/>
        </w:rPr>
        <w:t>un Nr.24. “</w:t>
      </w:r>
      <w:proofErr w:type="spellStart"/>
      <w:r>
        <w:rPr>
          <w:i/>
        </w:rPr>
        <w:t>I</w:t>
      </w:r>
      <w:r w:rsidRPr="00500DFC">
        <w:rPr>
          <w:i/>
        </w:rPr>
        <w:t>nformāciju</w:t>
      </w:r>
      <w:proofErr w:type="spellEnd"/>
      <w:r w:rsidRPr="00500DFC">
        <w:rPr>
          <w:i/>
        </w:rPr>
        <w:t xml:space="preserve"> </w:t>
      </w:r>
      <w:proofErr w:type="spellStart"/>
      <w:r w:rsidRPr="00500DFC">
        <w:rPr>
          <w:i/>
        </w:rPr>
        <w:t>tehnoloģiju</w:t>
      </w:r>
      <w:proofErr w:type="spellEnd"/>
      <w:r w:rsidRPr="00500DFC">
        <w:rPr>
          <w:i/>
        </w:rPr>
        <w:t xml:space="preserve"> </w:t>
      </w:r>
      <w:proofErr w:type="spellStart"/>
      <w:r w:rsidRPr="00500DFC">
        <w:rPr>
          <w:i/>
        </w:rPr>
        <w:t>speciālists</w:t>
      </w:r>
      <w:proofErr w:type="spellEnd"/>
      <w:r>
        <w:t xml:space="preserve">, </w:t>
      </w:r>
      <w:proofErr w:type="spellStart"/>
      <w:r>
        <w:t>attiecīgi</w:t>
      </w:r>
      <w:proofErr w:type="spellEnd"/>
      <w:r>
        <w:t xml:space="preserve"> </w:t>
      </w:r>
      <w:proofErr w:type="spellStart"/>
      <w:r>
        <w:t>regulēt</w:t>
      </w:r>
      <w:proofErr w:type="spellEnd"/>
      <w:r>
        <w:t xml:space="preserve"> </w:t>
      </w:r>
      <w:proofErr w:type="spellStart"/>
      <w:r>
        <w:t>numerāciju</w:t>
      </w:r>
      <w:proofErr w:type="spellEnd"/>
      <w:r>
        <w:t xml:space="preserve"> un </w:t>
      </w:r>
      <w:proofErr w:type="spellStart"/>
      <w:r>
        <w:t>papildināt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sekojošiem</w:t>
      </w:r>
      <w:proofErr w:type="spellEnd"/>
      <w:r>
        <w:t xml:space="preserve"> </w:t>
      </w:r>
      <w:proofErr w:type="spellStart"/>
      <w:r>
        <w:t>ierakstiem</w:t>
      </w:r>
      <w:proofErr w:type="spellEnd"/>
      <w:r>
        <w:t xml:space="preserve"> </w:t>
      </w:r>
      <w:proofErr w:type="spellStart"/>
      <w:r>
        <w:t>ailēs</w:t>
      </w:r>
      <w:proofErr w:type="spellEnd"/>
      <w:r>
        <w:t>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268"/>
        <w:gridCol w:w="1984"/>
        <w:gridCol w:w="3261"/>
        <w:gridCol w:w="1559"/>
      </w:tblGrid>
      <w:tr w:rsidR="003D4AB0" w:rsidRPr="0005154D" w:rsidTr="0032743B">
        <w:tc>
          <w:tcPr>
            <w:tcW w:w="1135" w:type="dxa"/>
            <w:shd w:val="clear" w:color="auto" w:fill="auto"/>
          </w:tcPr>
          <w:p w:rsidR="003D4AB0" w:rsidRPr="0005154D" w:rsidRDefault="003D4AB0" w:rsidP="0032743B">
            <w:pPr>
              <w:keepNext/>
              <w:tabs>
                <w:tab w:val="left" w:pos="34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  <w:proofErr w:type="spellStart"/>
            <w:r w:rsidRPr="0005154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r.</w:t>
            </w:r>
            <w:r w:rsidRPr="0005154D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.</w:t>
            </w:r>
            <w:r w:rsidRPr="0005154D">
              <w:rPr>
                <w:sz w:val="20"/>
                <w:szCs w:val="20"/>
              </w:rPr>
              <w:t>k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D4AB0" w:rsidRPr="0005154D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  <w:r w:rsidRPr="0005154D">
              <w:rPr>
                <w:sz w:val="20"/>
                <w:szCs w:val="20"/>
              </w:rPr>
              <w:t xml:space="preserve">Amata </w:t>
            </w:r>
            <w:proofErr w:type="spellStart"/>
            <w:r w:rsidRPr="0005154D">
              <w:rPr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D4AB0" w:rsidRPr="00AE48F7" w:rsidRDefault="003D4AB0" w:rsidP="0032743B">
            <w:pPr>
              <w:pStyle w:val="ListParagraph"/>
              <w:ind w:left="0"/>
              <w:jc w:val="both"/>
              <w:rPr>
                <w:rFonts w:eastAsia="Times New Roman"/>
                <w:szCs w:val="24"/>
                <w:lang w:eastAsia="lv-LV"/>
              </w:rPr>
            </w:pPr>
            <w:proofErr w:type="spellStart"/>
            <w:r w:rsidRPr="00AE48F7">
              <w:rPr>
                <w:szCs w:val="24"/>
              </w:rPr>
              <w:t>Am</w:t>
            </w:r>
            <w:r>
              <w:rPr>
                <w:szCs w:val="24"/>
              </w:rPr>
              <w:t>atu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saimes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szCs w:val="24"/>
              </w:rPr>
              <w:t>apakšsaimes</w:t>
            </w:r>
            <w:proofErr w:type="spellEnd"/>
            <w:r>
              <w:rPr>
                <w:szCs w:val="24"/>
              </w:rPr>
              <w:t xml:space="preserve">) </w:t>
            </w:r>
            <w:proofErr w:type="spellStart"/>
            <w:r>
              <w:rPr>
                <w:szCs w:val="24"/>
              </w:rPr>
              <w:t>numurs</w:t>
            </w:r>
            <w:proofErr w:type="spellEnd"/>
          </w:p>
          <w:p w:rsidR="003D4AB0" w:rsidRPr="0005154D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3D4AB0" w:rsidRPr="00AE48F7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  <w:proofErr w:type="spellStart"/>
            <w:r w:rsidRPr="00AE48F7">
              <w:rPr>
                <w:bCs/>
                <w:color w:val="000000"/>
              </w:rPr>
              <w:t>Līmenis</w:t>
            </w:r>
            <w:proofErr w:type="spellEnd"/>
            <w:r w:rsidRPr="00AE48F7">
              <w:rPr>
                <w:bCs/>
                <w:color w:val="000000"/>
              </w:rPr>
              <w:t>/</w:t>
            </w:r>
            <w:proofErr w:type="spellStart"/>
            <w:r w:rsidRPr="00AE48F7">
              <w:rPr>
                <w:bCs/>
                <w:color w:val="000000"/>
              </w:rPr>
              <w:t>Līmeņa</w:t>
            </w:r>
            <w:proofErr w:type="spellEnd"/>
            <w:r w:rsidRPr="00AE48F7">
              <w:rPr>
                <w:bCs/>
                <w:color w:val="000000"/>
              </w:rPr>
              <w:t xml:space="preserve"> </w:t>
            </w:r>
            <w:proofErr w:type="spellStart"/>
            <w:r w:rsidRPr="00AE48F7">
              <w:rPr>
                <w:bCs/>
                <w:color w:val="000000"/>
              </w:rPr>
              <w:t>raksturojums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D4AB0" w:rsidRPr="00AE48F7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  <w:proofErr w:type="spellStart"/>
            <w:r w:rsidRPr="00AE48F7">
              <w:rPr>
                <w:bCs/>
              </w:rPr>
              <w:t>Maksimālā</w:t>
            </w:r>
            <w:proofErr w:type="spellEnd"/>
            <w:r w:rsidRPr="00AE48F7">
              <w:rPr>
                <w:bCs/>
              </w:rPr>
              <w:t xml:space="preserve"> </w:t>
            </w:r>
            <w:proofErr w:type="spellStart"/>
            <w:r w:rsidRPr="00AE48F7">
              <w:rPr>
                <w:bCs/>
              </w:rPr>
              <w:t>mēnešalgu</w:t>
            </w:r>
            <w:proofErr w:type="spellEnd"/>
            <w:r w:rsidRPr="00AE48F7">
              <w:rPr>
                <w:bCs/>
              </w:rPr>
              <w:t xml:space="preserve"> </w:t>
            </w:r>
            <w:proofErr w:type="spellStart"/>
            <w:r w:rsidRPr="00AE48F7">
              <w:rPr>
                <w:bCs/>
              </w:rPr>
              <w:t>grupa</w:t>
            </w:r>
            <w:proofErr w:type="spellEnd"/>
          </w:p>
        </w:tc>
      </w:tr>
      <w:tr w:rsidR="003D4AB0" w:rsidRPr="005E2484" w:rsidTr="0032743B">
        <w:tc>
          <w:tcPr>
            <w:tcW w:w="1135" w:type="dxa"/>
            <w:shd w:val="clear" w:color="auto" w:fill="auto"/>
          </w:tcPr>
          <w:p w:rsidR="003D4AB0" w:rsidRPr="005E2484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  <w:r w:rsidRPr="005E2484">
              <w:rPr>
                <w:sz w:val="20"/>
                <w:szCs w:val="20"/>
              </w:rPr>
              <w:t>20.</w:t>
            </w:r>
          </w:p>
        </w:tc>
        <w:tc>
          <w:tcPr>
            <w:tcW w:w="2268" w:type="dxa"/>
            <w:shd w:val="clear" w:color="auto" w:fill="auto"/>
          </w:tcPr>
          <w:p w:rsidR="003D4AB0" w:rsidRPr="005E2484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2"/>
              </w:rPr>
            </w:pPr>
            <w:proofErr w:type="spellStart"/>
            <w:r w:rsidRPr="005E2484">
              <w:rPr>
                <w:sz w:val="22"/>
              </w:rPr>
              <w:t>Informācijas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vadības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speciālists</w:t>
            </w:r>
            <w:proofErr w:type="spellEnd"/>
            <w:r w:rsidRPr="005E2484">
              <w:rPr>
                <w:sz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3D4AB0" w:rsidRPr="005E2484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2"/>
              </w:rPr>
            </w:pPr>
            <w:r w:rsidRPr="005E2484">
              <w:rPr>
                <w:sz w:val="22"/>
              </w:rPr>
              <w:t xml:space="preserve">19.4. </w:t>
            </w:r>
            <w:proofErr w:type="spellStart"/>
            <w:r w:rsidRPr="005E2484">
              <w:rPr>
                <w:sz w:val="22"/>
              </w:rPr>
              <w:t>Informācijas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tehnoloģiju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programmatūras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attīstība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3D4AB0" w:rsidRPr="005E2484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2"/>
              </w:rPr>
            </w:pPr>
            <w:r w:rsidRPr="005E2484">
              <w:rPr>
                <w:sz w:val="22"/>
              </w:rPr>
              <w:t xml:space="preserve">III - </w:t>
            </w:r>
            <w:proofErr w:type="spellStart"/>
            <w:r w:rsidRPr="005E2484">
              <w:rPr>
                <w:sz w:val="22"/>
              </w:rPr>
              <w:t>Veic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sistēmu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analīzi</w:t>
            </w:r>
            <w:proofErr w:type="spellEnd"/>
            <w:r w:rsidRPr="005E2484">
              <w:rPr>
                <w:sz w:val="22"/>
              </w:rPr>
              <w:t xml:space="preserve"> un </w:t>
            </w:r>
            <w:proofErr w:type="spellStart"/>
            <w:r w:rsidRPr="005E2484">
              <w:rPr>
                <w:sz w:val="22"/>
              </w:rPr>
              <w:t>izstrādā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programmēšanas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uzdevumus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atsevišķu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procesu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līmenī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D4AB0" w:rsidRPr="005E2484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2"/>
              </w:rPr>
            </w:pPr>
            <w:r w:rsidRPr="005E2484">
              <w:rPr>
                <w:sz w:val="22"/>
              </w:rPr>
              <w:t>10</w:t>
            </w:r>
          </w:p>
        </w:tc>
      </w:tr>
      <w:tr w:rsidR="003D4AB0" w:rsidRPr="005E2484" w:rsidTr="0032743B">
        <w:tc>
          <w:tcPr>
            <w:tcW w:w="1135" w:type="dxa"/>
            <w:shd w:val="clear" w:color="auto" w:fill="auto"/>
          </w:tcPr>
          <w:p w:rsidR="003D4AB0" w:rsidRPr="005E2484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2"/>
              </w:rPr>
            </w:pPr>
            <w:r w:rsidRPr="005E2484">
              <w:rPr>
                <w:sz w:val="22"/>
              </w:rPr>
              <w:t>21</w:t>
            </w:r>
            <w:r>
              <w:rPr>
                <w:sz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D4AB0" w:rsidRPr="005E2484" w:rsidRDefault="003D4AB0" w:rsidP="0032743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2"/>
              </w:rPr>
            </w:pPr>
            <w:proofErr w:type="spellStart"/>
            <w:r w:rsidRPr="005E2484">
              <w:rPr>
                <w:sz w:val="22"/>
              </w:rPr>
              <w:t>Uzņēmējdarbības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centra</w:t>
            </w:r>
            <w:proofErr w:type="spellEnd"/>
            <w:r w:rsidRPr="005E2484">
              <w:rPr>
                <w:sz w:val="22"/>
              </w:rPr>
              <w:t xml:space="preserve"> </w:t>
            </w:r>
            <w:proofErr w:type="spellStart"/>
            <w:r w:rsidRPr="005E2484">
              <w:rPr>
                <w:sz w:val="22"/>
              </w:rPr>
              <w:t>vadītājs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D4AB0" w:rsidRPr="005E2484" w:rsidRDefault="003D4AB0" w:rsidP="0032743B">
            <w:pPr>
              <w:spacing w:after="200" w:line="276" w:lineRule="auto"/>
              <w:rPr>
                <w:bCs/>
                <w:sz w:val="22"/>
              </w:rPr>
            </w:pPr>
            <w:r w:rsidRPr="005E2484">
              <w:rPr>
                <w:bCs/>
                <w:sz w:val="22"/>
              </w:rPr>
              <w:t xml:space="preserve">35. </w:t>
            </w:r>
            <w:proofErr w:type="spellStart"/>
            <w:r w:rsidRPr="005E2484">
              <w:rPr>
                <w:bCs/>
                <w:sz w:val="22"/>
              </w:rPr>
              <w:t>Politikas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ieviešana</w:t>
            </w:r>
            <w:proofErr w:type="spellEnd"/>
          </w:p>
          <w:p w:rsidR="003D4AB0" w:rsidRPr="005E2484" w:rsidRDefault="003D4AB0" w:rsidP="0032743B">
            <w:pPr>
              <w:spacing w:after="200" w:line="276" w:lineRule="auto"/>
              <w:rPr>
                <w:bCs/>
                <w:sz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D4AB0" w:rsidRPr="005E2484" w:rsidRDefault="003D4AB0" w:rsidP="0032743B">
            <w:pPr>
              <w:spacing w:after="200" w:line="276" w:lineRule="auto"/>
              <w:rPr>
                <w:bCs/>
                <w:sz w:val="22"/>
              </w:rPr>
            </w:pPr>
            <w:r w:rsidRPr="005E2484">
              <w:rPr>
                <w:bCs/>
                <w:sz w:val="22"/>
              </w:rPr>
              <w:t xml:space="preserve">IV A Vada un </w:t>
            </w:r>
            <w:proofErr w:type="spellStart"/>
            <w:r w:rsidRPr="005E2484">
              <w:rPr>
                <w:bCs/>
                <w:sz w:val="22"/>
              </w:rPr>
              <w:t>kontrolē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politikas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ieviešanu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vienā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apakšnozarē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vai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darbības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jomā</w:t>
            </w:r>
            <w:proofErr w:type="spellEnd"/>
            <w:r w:rsidRPr="005E2484">
              <w:rPr>
                <w:bCs/>
                <w:sz w:val="22"/>
              </w:rPr>
              <w:t xml:space="preserve">. </w:t>
            </w:r>
            <w:proofErr w:type="spellStart"/>
            <w:r w:rsidRPr="005E2484">
              <w:rPr>
                <w:bCs/>
                <w:sz w:val="22"/>
              </w:rPr>
              <w:t>Pārraudzītā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apakšnozare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vai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darbības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joma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sīkāk</w:t>
            </w:r>
            <w:proofErr w:type="spellEnd"/>
            <w:r w:rsidRPr="005E2484">
              <w:rPr>
                <w:bCs/>
                <w:sz w:val="22"/>
              </w:rPr>
              <w:t xml:space="preserve"> </w:t>
            </w:r>
            <w:proofErr w:type="spellStart"/>
            <w:r w:rsidRPr="005E2484">
              <w:rPr>
                <w:bCs/>
                <w:sz w:val="22"/>
              </w:rPr>
              <w:t>nedalās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D4AB0" w:rsidRPr="005E2484" w:rsidRDefault="003D4AB0" w:rsidP="0032743B">
            <w:pPr>
              <w:spacing w:after="200" w:line="276" w:lineRule="auto"/>
              <w:rPr>
                <w:bCs/>
                <w:sz w:val="22"/>
              </w:rPr>
            </w:pPr>
            <w:r w:rsidRPr="005E2484">
              <w:rPr>
                <w:bCs/>
                <w:sz w:val="22"/>
              </w:rPr>
              <w:t>11</w:t>
            </w:r>
          </w:p>
          <w:p w:rsidR="003D4AB0" w:rsidRPr="005E2484" w:rsidRDefault="003D4AB0" w:rsidP="0032743B">
            <w:pPr>
              <w:spacing w:after="200" w:line="276" w:lineRule="auto"/>
              <w:rPr>
                <w:bCs/>
                <w:sz w:val="22"/>
              </w:rPr>
            </w:pPr>
          </w:p>
        </w:tc>
      </w:tr>
    </w:tbl>
    <w:p w:rsidR="003D4AB0" w:rsidRDefault="003D4AB0" w:rsidP="003D4AB0">
      <w:pPr>
        <w:keepNext/>
        <w:tabs>
          <w:tab w:val="left" w:pos="285"/>
          <w:tab w:val="left" w:pos="8607"/>
        </w:tabs>
        <w:spacing w:before="120"/>
        <w:ind w:right="237"/>
        <w:jc w:val="both"/>
        <w:outlineLvl w:val="1"/>
      </w:pPr>
    </w:p>
    <w:p w:rsidR="003D4AB0" w:rsidRPr="00B5020E" w:rsidRDefault="003D4AB0" w:rsidP="00751B08">
      <w:pPr>
        <w:pStyle w:val="ListParagraph"/>
        <w:numPr>
          <w:ilvl w:val="0"/>
          <w:numId w:val="19"/>
        </w:numPr>
        <w:jc w:val="both"/>
        <w:rPr>
          <w:szCs w:val="24"/>
        </w:rPr>
      </w:pPr>
      <w:proofErr w:type="spellStart"/>
      <w:r w:rsidRPr="00B5020E">
        <w:rPr>
          <w:szCs w:val="24"/>
        </w:rPr>
        <w:t>Kontroli</w:t>
      </w:r>
      <w:proofErr w:type="spellEnd"/>
      <w:r w:rsidRPr="00B5020E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B5020E">
          <w:rPr>
            <w:szCs w:val="24"/>
          </w:rPr>
          <w:t>lēmuma</w:t>
        </w:r>
      </w:smartTag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izpildi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uzdot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Zemgales</w:t>
      </w:r>
      <w:proofErr w:type="spellEnd"/>
      <w:r w:rsidRPr="00B5020E">
        <w:rPr>
          <w:szCs w:val="24"/>
        </w:rPr>
        <w:t xml:space="preserve"> plānošanas </w:t>
      </w:r>
      <w:proofErr w:type="spellStart"/>
      <w:r w:rsidRPr="00B5020E">
        <w:rPr>
          <w:szCs w:val="24"/>
        </w:rPr>
        <w:t>reģiona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izpilddirektoram</w:t>
      </w:r>
      <w:proofErr w:type="spellEnd"/>
      <w:r w:rsidRPr="00B5020E">
        <w:rPr>
          <w:szCs w:val="24"/>
        </w:rPr>
        <w:t xml:space="preserve"> </w:t>
      </w:r>
    </w:p>
    <w:p w:rsidR="003D4AB0" w:rsidRPr="00B5020E" w:rsidRDefault="003D4AB0" w:rsidP="00751B08">
      <w:pPr>
        <w:pStyle w:val="ListParagraph"/>
        <w:ind w:left="360"/>
        <w:jc w:val="both"/>
        <w:rPr>
          <w:szCs w:val="24"/>
        </w:rPr>
      </w:pPr>
      <w:proofErr w:type="spellStart"/>
      <w:r w:rsidRPr="00B5020E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B5020E">
        <w:rPr>
          <w:szCs w:val="24"/>
        </w:rPr>
        <w:t>Veipam</w:t>
      </w:r>
      <w:proofErr w:type="spellEnd"/>
      <w:r w:rsidRPr="00B5020E">
        <w:rPr>
          <w:szCs w:val="24"/>
        </w:rPr>
        <w:t>.</w:t>
      </w:r>
    </w:p>
    <w:p w:rsidR="003D4AB0" w:rsidRPr="00B5020E" w:rsidRDefault="003D4AB0" w:rsidP="00751B08">
      <w:pPr>
        <w:pStyle w:val="ListParagraph"/>
        <w:ind w:left="360"/>
        <w:jc w:val="both"/>
        <w:rPr>
          <w:szCs w:val="24"/>
        </w:rPr>
      </w:pPr>
    </w:p>
    <w:p w:rsidR="003D4AB0" w:rsidRPr="00B5020E" w:rsidRDefault="003D4AB0" w:rsidP="00751B08">
      <w:pPr>
        <w:pStyle w:val="ListParagraph"/>
        <w:numPr>
          <w:ilvl w:val="0"/>
          <w:numId w:val="19"/>
        </w:numPr>
        <w:jc w:val="both"/>
        <w:rPr>
          <w:szCs w:val="24"/>
        </w:rPr>
      </w:pPr>
      <w:proofErr w:type="spellStart"/>
      <w:r w:rsidRPr="00B5020E">
        <w:rPr>
          <w:szCs w:val="24"/>
        </w:rPr>
        <w:t>Grozījumi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stājas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spēkā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pēc</w:t>
      </w:r>
      <w:proofErr w:type="spellEnd"/>
      <w:r w:rsidRPr="00B5020E">
        <w:rPr>
          <w:szCs w:val="24"/>
        </w:rPr>
        <w:t xml:space="preserve"> to </w:t>
      </w:r>
      <w:proofErr w:type="spellStart"/>
      <w:r w:rsidRPr="00B5020E">
        <w:rPr>
          <w:szCs w:val="24"/>
        </w:rPr>
        <w:t>apstiprināšanas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ar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Zemgales</w:t>
      </w:r>
      <w:proofErr w:type="spellEnd"/>
      <w:r w:rsidRPr="00B5020E">
        <w:rPr>
          <w:szCs w:val="24"/>
        </w:rPr>
        <w:t xml:space="preserve"> plānošanas </w:t>
      </w:r>
      <w:proofErr w:type="spellStart"/>
      <w:r w:rsidRPr="00B5020E">
        <w:rPr>
          <w:szCs w:val="24"/>
        </w:rPr>
        <w:t>reģiona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Attīstības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padomes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lēmumu</w:t>
      </w:r>
      <w:proofErr w:type="spellEnd"/>
      <w:r w:rsidRPr="00B5020E">
        <w:rPr>
          <w:szCs w:val="24"/>
        </w:rPr>
        <w:t xml:space="preserve">. 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  <w:bookmarkStart w:id="0" w:name="_GoBack"/>
      <w:bookmarkEnd w:id="0"/>
    </w:p>
    <w:p w:rsidR="00A14723" w:rsidRPr="00070D5B" w:rsidRDefault="00A14723" w:rsidP="00070D5B">
      <w:pPr>
        <w:pStyle w:val="NoSpacing"/>
      </w:pPr>
      <w:r>
        <w:t>17.</w:t>
      </w:r>
      <w:r w:rsidRPr="00070D5B">
        <w:t>0</w:t>
      </w:r>
      <w:r>
        <w:t>2</w:t>
      </w:r>
      <w:r w:rsidRPr="00070D5B">
        <w:t>.201</w:t>
      </w:r>
      <w:r>
        <w:t>6</w:t>
      </w:r>
      <w:r w:rsidRPr="00070D5B">
        <w:t>., Jelgavā</w:t>
      </w:r>
    </w:p>
    <w:p w:rsidR="00A14723" w:rsidRDefault="00A14723" w:rsidP="002922D1">
      <w:pPr>
        <w:rPr>
          <w:szCs w:val="24"/>
        </w:rPr>
      </w:pPr>
    </w:p>
    <w:p w:rsidR="00A14723" w:rsidRDefault="00A14723" w:rsidP="002922D1">
      <w:pPr>
        <w:rPr>
          <w:szCs w:val="24"/>
        </w:rPr>
      </w:pP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FBB" w:rsidRDefault="00951FBB" w:rsidP="00434F22">
      <w:r>
        <w:separator/>
      </w:r>
    </w:p>
  </w:endnote>
  <w:endnote w:type="continuationSeparator" w:id="0">
    <w:p w:rsidR="00951FBB" w:rsidRDefault="00951FB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FBB" w:rsidRDefault="00951FBB" w:rsidP="00434F22">
      <w:r>
        <w:separator/>
      </w:r>
    </w:p>
  </w:footnote>
  <w:footnote w:type="continuationSeparator" w:id="0">
    <w:p w:rsidR="00951FBB" w:rsidRDefault="00951FB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51FBB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54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3D7BE-A7CB-414D-91AE-7B9D0C96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4370</Words>
  <Characters>2492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2016-02-12T12:00:00Z</cp:lastPrinted>
  <dcterms:created xsi:type="dcterms:W3CDTF">2016-02-19T13:16:00Z</dcterms:created>
  <dcterms:modified xsi:type="dcterms:W3CDTF">2016-02-19T13:16:00Z</dcterms:modified>
</cp:coreProperties>
</file>