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2A32" w:rsidRDefault="00492A32" w:rsidP="00572643">
      <w:pPr>
        <w:rPr>
          <w:rFonts w:cstheme="minorHAnsi"/>
          <w:b/>
          <w:sz w:val="28"/>
          <w:szCs w:val="28"/>
        </w:rPr>
      </w:pPr>
    </w:p>
    <w:p w:rsidR="00EA34B0" w:rsidRDefault="00572643" w:rsidP="00492A32">
      <w:pPr>
        <w:jc w:val="center"/>
        <w:rPr>
          <w:rFonts w:cstheme="minorHAnsi"/>
          <w:b/>
          <w:sz w:val="28"/>
          <w:szCs w:val="28"/>
        </w:rPr>
      </w:pPr>
      <w:r w:rsidRPr="00492A32">
        <w:rPr>
          <w:rFonts w:cstheme="minorHAnsi"/>
          <w:b/>
          <w:sz w:val="28"/>
          <w:szCs w:val="28"/>
        </w:rPr>
        <w:t>Zemgales reģiona attīstības vīzija</w:t>
      </w:r>
      <w:r w:rsidR="00EA34B0" w:rsidRPr="00492A32">
        <w:rPr>
          <w:rFonts w:cstheme="minorHAnsi"/>
          <w:b/>
          <w:sz w:val="28"/>
          <w:szCs w:val="28"/>
        </w:rPr>
        <w:t xml:space="preserve"> ilgtspējīga transporta attīstībai</w:t>
      </w:r>
    </w:p>
    <w:p w:rsidR="005B3E20" w:rsidRPr="005B3E20" w:rsidRDefault="005B3E20" w:rsidP="00492A32">
      <w:pPr>
        <w:jc w:val="center"/>
        <w:rPr>
          <w:rFonts w:cstheme="minorHAnsi"/>
          <w:b/>
          <w:i/>
          <w:sz w:val="28"/>
          <w:szCs w:val="28"/>
          <w:u w:val="single"/>
        </w:rPr>
      </w:pPr>
      <w:r w:rsidRPr="005B3E20">
        <w:rPr>
          <w:rFonts w:cstheme="minorHAnsi"/>
          <w:b/>
          <w:i/>
          <w:sz w:val="28"/>
          <w:szCs w:val="28"/>
          <w:u w:val="single"/>
        </w:rPr>
        <w:t>Darba variants</w:t>
      </w:r>
    </w:p>
    <w:p w:rsidR="00B41A35" w:rsidRDefault="00091700" w:rsidP="00492A32">
      <w:pPr>
        <w:jc w:val="both"/>
        <w:rPr>
          <w:rFonts w:cstheme="minorHAnsi"/>
        </w:rPr>
      </w:pPr>
      <w:r>
        <w:rPr>
          <w:rFonts w:cstheme="minorHAnsi"/>
        </w:rPr>
        <w:t xml:space="preserve">Lai </w:t>
      </w:r>
      <w:r w:rsidR="00ED7C56">
        <w:rPr>
          <w:rFonts w:cstheme="minorHAnsi"/>
        </w:rPr>
        <w:t>ieskicētu Zemgales</w:t>
      </w:r>
      <w:r w:rsidR="004227FB">
        <w:rPr>
          <w:rFonts w:cstheme="minorHAnsi"/>
        </w:rPr>
        <w:t xml:space="preserve"> reģiona</w:t>
      </w:r>
      <w:r w:rsidR="00ED7C56">
        <w:rPr>
          <w:rFonts w:cstheme="minorHAnsi"/>
        </w:rPr>
        <w:t xml:space="preserve"> ilgtspējīga transporta </w:t>
      </w:r>
      <w:r w:rsidR="00594E5B">
        <w:rPr>
          <w:rFonts w:cstheme="minorHAnsi"/>
        </w:rPr>
        <w:t xml:space="preserve">ilgtermiņa </w:t>
      </w:r>
      <w:r w:rsidR="00ED7C56">
        <w:rPr>
          <w:rFonts w:cstheme="minorHAnsi"/>
        </w:rPr>
        <w:t>attīstības vīziju, nepieciešams apzināties</w:t>
      </w:r>
      <w:r w:rsidR="00D32721" w:rsidRPr="00D32721">
        <w:rPr>
          <w:rFonts w:cstheme="minorHAnsi"/>
        </w:rPr>
        <w:t xml:space="preserve"> </w:t>
      </w:r>
      <w:r w:rsidR="00D32721">
        <w:rPr>
          <w:rFonts w:cstheme="minorHAnsi"/>
        </w:rPr>
        <w:t>iedzīvotāju vajadzības,</w:t>
      </w:r>
      <w:r w:rsidR="00ED7C56">
        <w:rPr>
          <w:rFonts w:cstheme="minorHAnsi"/>
        </w:rPr>
        <w:t xml:space="preserve"> reģiona nākotnes virzību, pieejamos resursus un infrastruktūru.</w:t>
      </w:r>
    </w:p>
    <w:tbl>
      <w:tblPr>
        <w:tblStyle w:val="TableGrid"/>
        <w:tblW w:w="9067" w:type="dxa"/>
        <w:tblLook w:val="04A0" w:firstRow="1" w:lastRow="0" w:firstColumn="1" w:lastColumn="0" w:noHBand="0" w:noVBand="1"/>
      </w:tblPr>
      <w:tblGrid>
        <w:gridCol w:w="1756"/>
        <w:gridCol w:w="3626"/>
        <w:gridCol w:w="3685"/>
      </w:tblGrid>
      <w:tr w:rsidR="00572643" w:rsidTr="00DC59B7">
        <w:trPr>
          <w:trHeight w:val="680"/>
        </w:trPr>
        <w:tc>
          <w:tcPr>
            <w:tcW w:w="1756" w:type="dxa"/>
          </w:tcPr>
          <w:p w:rsidR="00572643" w:rsidRDefault="00572643" w:rsidP="00CA256D">
            <w:pPr>
              <w:spacing w:before="40" w:after="40"/>
              <w:rPr>
                <w:rFonts w:cstheme="minorHAnsi"/>
              </w:rPr>
            </w:pPr>
            <w:r>
              <w:rPr>
                <w:rFonts w:cstheme="minorHAnsi"/>
              </w:rPr>
              <w:t>Sadaļa</w:t>
            </w:r>
          </w:p>
        </w:tc>
        <w:tc>
          <w:tcPr>
            <w:tcW w:w="3626" w:type="dxa"/>
          </w:tcPr>
          <w:p w:rsidR="00572643" w:rsidRDefault="00572643" w:rsidP="00CA256D">
            <w:pPr>
              <w:spacing w:before="40" w:after="40"/>
              <w:rPr>
                <w:rFonts w:cstheme="minorHAnsi"/>
              </w:rPr>
            </w:pPr>
            <w:r>
              <w:t>ZPR ilgtspējīgas attīstības stratēģija 2015.-2030</w:t>
            </w:r>
          </w:p>
        </w:tc>
        <w:tc>
          <w:tcPr>
            <w:tcW w:w="3685" w:type="dxa"/>
          </w:tcPr>
          <w:p w:rsidR="00572643" w:rsidRPr="0005016F" w:rsidRDefault="00F07E60" w:rsidP="00CA256D">
            <w:pPr>
              <w:spacing w:before="40" w:after="40"/>
              <w:rPr>
                <w:rFonts w:cstheme="minorHAnsi"/>
                <w:i/>
              </w:rPr>
            </w:pPr>
            <w:r>
              <w:rPr>
                <w:rFonts w:cstheme="minorHAnsi"/>
                <w:i/>
              </w:rPr>
              <w:t>I</w:t>
            </w:r>
            <w:r w:rsidR="00572643" w:rsidRPr="0005016F">
              <w:rPr>
                <w:rFonts w:cstheme="minorHAnsi"/>
                <w:i/>
              </w:rPr>
              <w:t xml:space="preserve">lgtspējīga transporta </w:t>
            </w:r>
            <w:r w:rsidR="00492A32">
              <w:rPr>
                <w:rFonts w:cstheme="minorHAnsi"/>
                <w:i/>
              </w:rPr>
              <w:t xml:space="preserve">ilgtermiņa </w:t>
            </w:r>
            <w:r w:rsidR="00572643" w:rsidRPr="0005016F">
              <w:rPr>
                <w:rFonts w:cstheme="minorHAnsi"/>
                <w:i/>
              </w:rPr>
              <w:t>attīstība</w:t>
            </w:r>
            <w:r>
              <w:rPr>
                <w:rFonts w:cstheme="minorHAnsi"/>
                <w:i/>
              </w:rPr>
              <w:t xml:space="preserve"> Zemgales reģionā</w:t>
            </w:r>
          </w:p>
        </w:tc>
      </w:tr>
      <w:tr w:rsidR="00572643" w:rsidTr="00DC59B7">
        <w:trPr>
          <w:trHeight w:val="5293"/>
        </w:trPr>
        <w:tc>
          <w:tcPr>
            <w:tcW w:w="1756" w:type="dxa"/>
          </w:tcPr>
          <w:p w:rsidR="00572643" w:rsidRDefault="00572643" w:rsidP="00CA256D">
            <w:pPr>
              <w:spacing w:before="40" w:after="40"/>
              <w:rPr>
                <w:rFonts w:cstheme="minorHAnsi"/>
              </w:rPr>
            </w:pPr>
            <w:r>
              <w:rPr>
                <w:rFonts w:cstheme="minorHAnsi"/>
              </w:rPr>
              <w:t>Cilvēki</w:t>
            </w:r>
          </w:p>
        </w:tc>
        <w:tc>
          <w:tcPr>
            <w:tcW w:w="3626" w:type="dxa"/>
          </w:tcPr>
          <w:p w:rsidR="00572643" w:rsidRDefault="00572643" w:rsidP="00CA256D">
            <w:pPr>
              <w:spacing w:before="40" w:after="40"/>
              <w:rPr>
                <w:rFonts w:cstheme="minorHAnsi"/>
              </w:rPr>
            </w:pPr>
            <w:r w:rsidRPr="00381926">
              <w:rPr>
                <w:rFonts w:cstheme="minorHAnsi"/>
              </w:rPr>
              <w:t>Iedzīvotāju skaits reģionā ir stabils, ko nosaka faktors, ka iedzīvotāji izvēlas savu dzīves vietu Zemgalē – kā pievilcīgā dzīves un darba telpā. Reģionā vairumam no darbaspējas vecuma iedzīvotājiem ir augstākā vai profesionālā izglītība, un lielākā daļa ir</w:t>
            </w:r>
            <w:r>
              <w:rPr>
                <w:rFonts w:cstheme="minorHAnsi"/>
              </w:rPr>
              <w:t>, iekļāvušies mūžizglītības procesos</w:t>
            </w:r>
            <w:r w:rsidRPr="00381926">
              <w:rPr>
                <w:rFonts w:cstheme="minorHAnsi"/>
              </w:rPr>
              <w:t>. Reģiona iedzīvotāji jūtas pied</w:t>
            </w:r>
            <w:bookmarkStart w:id="0" w:name="_GoBack"/>
            <w:bookmarkEnd w:id="0"/>
            <w:r w:rsidRPr="00381926">
              <w:rPr>
                <w:rFonts w:cstheme="minorHAnsi"/>
              </w:rPr>
              <w:t>erīgi un atbildīgi gan par vietējo, gan reģiona kopdzīvi un lepni, ka dzīvo Zemgalē. Latviskā kultūrtelpa ir Zemgales sabiedrību saliedējošs pamats, kurā ikviens indivīds ir tiesīgs izvēlēties savu identitāti un var brīvi iekļauties sabiedrībā.</w:t>
            </w:r>
          </w:p>
        </w:tc>
        <w:tc>
          <w:tcPr>
            <w:tcW w:w="3685" w:type="dxa"/>
          </w:tcPr>
          <w:p w:rsidR="00572643" w:rsidRPr="0005016F" w:rsidRDefault="00572643" w:rsidP="00CA256D">
            <w:pPr>
              <w:spacing w:before="40" w:after="40"/>
              <w:rPr>
                <w:rFonts w:cstheme="minorHAnsi"/>
                <w:i/>
              </w:rPr>
            </w:pPr>
            <w:r w:rsidRPr="0005016F">
              <w:rPr>
                <w:rFonts w:cstheme="minorHAnsi"/>
                <w:i/>
              </w:rPr>
              <w:t xml:space="preserve">Iedzīvotāji ir izglītoti (informēti) par alternatīvajām degvielām, </w:t>
            </w:r>
          </w:p>
          <w:p w:rsidR="00572643" w:rsidRPr="0005016F" w:rsidRDefault="00572643" w:rsidP="00CA256D">
            <w:pPr>
              <w:spacing w:before="40" w:after="40"/>
              <w:rPr>
                <w:rFonts w:cstheme="minorHAnsi"/>
                <w:i/>
              </w:rPr>
            </w:pPr>
            <w:r w:rsidRPr="0005016F">
              <w:rPr>
                <w:rFonts w:cstheme="minorHAnsi"/>
                <w:i/>
              </w:rPr>
              <w:t>iespējām šo degvielu izmantošanai autotransportā, ieguvumiem un ierobežojumiem.</w:t>
            </w:r>
          </w:p>
        </w:tc>
      </w:tr>
      <w:tr w:rsidR="00572643" w:rsidTr="00DC59B7">
        <w:trPr>
          <w:trHeight w:val="4773"/>
        </w:trPr>
        <w:tc>
          <w:tcPr>
            <w:tcW w:w="1756" w:type="dxa"/>
          </w:tcPr>
          <w:p w:rsidR="00572643" w:rsidRDefault="00572643" w:rsidP="00CA256D">
            <w:pPr>
              <w:spacing w:before="40" w:after="40"/>
              <w:rPr>
                <w:rFonts w:cstheme="minorHAnsi"/>
              </w:rPr>
            </w:pPr>
            <w:r>
              <w:rPr>
                <w:rFonts w:cstheme="minorHAnsi"/>
              </w:rPr>
              <w:t>Vērtības</w:t>
            </w:r>
          </w:p>
        </w:tc>
        <w:tc>
          <w:tcPr>
            <w:tcW w:w="3626" w:type="dxa"/>
          </w:tcPr>
          <w:p w:rsidR="00572643" w:rsidRDefault="00572643" w:rsidP="00CA256D">
            <w:pPr>
              <w:spacing w:before="40" w:after="40"/>
              <w:rPr>
                <w:rFonts w:cstheme="minorHAnsi"/>
              </w:rPr>
            </w:pPr>
            <w:r w:rsidRPr="00381926">
              <w:rPr>
                <w:rFonts w:cstheme="minorHAnsi"/>
              </w:rPr>
              <w:t xml:space="preserve">Zemgale – zaļš reģions Latvijas centrā, kur ir visauglīgākās lauksaimniecības zemes Latvijā, daudzveidīgi derīgie izrakteņi, meži un ūdens resursi, nepiesārņota un maz pārveidota dabas vide. Reģions ar savu kultūrvidi, kultūrvēsturisko mantojumu, senām tradīcijām un tūrisma potenciālu. Latvijas Lauksaimniecības universitāte – </w:t>
            </w:r>
            <w:r w:rsidRPr="004F7A0F">
              <w:rPr>
                <w:rFonts w:cstheme="minorHAnsi"/>
              </w:rPr>
              <w:t>atpazīstama un spēcīga zināšanu un tehnoloģiju pārneses universitāte Baltijā, veiksmīgi īsteno sadarbības projektus ar reģionu un pašvaldībām inovāciju ieviešanai.</w:t>
            </w:r>
          </w:p>
        </w:tc>
        <w:tc>
          <w:tcPr>
            <w:tcW w:w="3685" w:type="dxa"/>
          </w:tcPr>
          <w:p w:rsidR="00572643" w:rsidRPr="0005016F" w:rsidRDefault="00572643" w:rsidP="00CA256D">
            <w:pPr>
              <w:spacing w:before="40" w:after="40"/>
              <w:rPr>
                <w:rFonts w:cstheme="minorHAnsi"/>
                <w:i/>
              </w:rPr>
            </w:pPr>
            <w:r w:rsidRPr="0005016F">
              <w:rPr>
                <w:rFonts w:cstheme="minorHAnsi"/>
                <w:i/>
              </w:rPr>
              <w:t>Attīstīta “zaļā” domāšana, kas veicina ilgtspējīgu Zemgales reģiona dabas resursu izmantošanu atjaunojamās enerģijas ražošanai transportam. Alternatīvo degvielu ražotnes un tām nepieciešamo resursu apgāde netraucē kultūrvides un kultūrvēsturiskā mantojuma saglabāšanai</w:t>
            </w:r>
            <w:r w:rsidR="00A40947" w:rsidRPr="0005016F">
              <w:rPr>
                <w:rFonts w:cstheme="minorHAnsi"/>
                <w:i/>
              </w:rPr>
              <w:t xml:space="preserve"> un tūrisma potenciāla attīstīšanai</w:t>
            </w:r>
            <w:r w:rsidRPr="0005016F">
              <w:rPr>
                <w:rFonts w:cstheme="minorHAnsi"/>
                <w:i/>
              </w:rPr>
              <w:t>. LLU nodrošina zināšanu un tehnoloģiju pārnesi alternatīvo degvielu izmantošanai, veiksmīgi īsteno sadarbības projektus ar reģionu un pašvaldībām inovāciju ieviešanai.</w:t>
            </w:r>
          </w:p>
        </w:tc>
      </w:tr>
    </w:tbl>
    <w:p w:rsidR="00492A32" w:rsidRDefault="00492A32">
      <w:r>
        <w:br w:type="page"/>
      </w:r>
    </w:p>
    <w:tbl>
      <w:tblPr>
        <w:tblStyle w:val="TableGrid"/>
        <w:tblW w:w="8610" w:type="dxa"/>
        <w:tblLook w:val="04A0" w:firstRow="1" w:lastRow="0" w:firstColumn="1" w:lastColumn="0" w:noHBand="0" w:noVBand="1"/>
      </w:tblPr>
      <w:tblGrid>
        <w:gridCol w:w="1756"/>
        <w:gridCol w:w="3434"/>
        <w:gridCol w:w="3420"/>
      </w:tblGrid>
      <w:tr w:rsidR="00572643" w:rsidTr="00786F64">
        <w:trPr>
          <w:trHeight w:val="635"/>
        </w:trPr>
        <w:tc>
          <w:tcPr>
            <w:tcW w:w="1756" w:type="dxa"/>
          </w:tcPr>
          <w:p w:rsidR="00572643" w:rsidRDefault="00572643" w:rsidP="00CA256D">
            <w:pPr>
              <w:spacing w:before="40" w:after="40"/>
              <w:rPr>
                <w:rFonts w:cstheme="minorHAnsi"/>
              </w:rPr>
            </w:pPr>
            <w:r>
              <w:rPr>
                <w:rFonts w:cstheme="minorHAnsi"/>
              </w:rPr>
              <w:lastRenderedPageBreak/>
              <w:t>Uzņēmējdarbība</w:t>
            </w:r>
          </w:p>
        </w:tc>
        <w:tc>
          <w:tcPr>
            <w:tcW w:w="3434" w:type="dxa"/>
          </w:tcPr>
          <w:p w:rsidR="00572643" w:rsidRDefault="00572643" w:rsidP="00CA256D">
            <w:pPr>
              <w:spacing w:before="40" w:after="40"/>
              <w:rPr>
                <w:rFonts w:cstheme="minorHAnsi"/>
              </w:rPr>
            </w:pPr>
            <w:r w:rsidRPr="00381926">
              <w:rPr>
                <w:rFonts w:cstheme="minorHAnsi"/>
              </w:rPr>
              <w:t xml:space="preserve">Nacionālas un reģionālas nozīmes attīstības centros koncentrēti reģiona un valsts ekonomikai nozīmīgi ražošanas uzņēmumi. Veiksmīgi sadzīvo un attīstās intensīvā lauksaimniecība un </w:t>
            </w:r>
            <w:proofErr w:type="spellStart"/>
            <w:r w:rsidRPr="00381926">
              <w:rPr>
                <w:rFonts w:cstheme="minorHAnsi"/>
              </w:rPr>
              <w:t>ekosaimniekošana</w:t>
            </w:r>
            <w:proofErr w:type="spellEnd"/>
            <w:r w:rsidRPr="00381926">
              <w:rPr>
                <w:rFonts w:cstheme="minorHAnsi"/>
              </w:rPr>
              <w:t>, notiek sadarbība un specializēšanās. Efektīvi darbojas uzņēmējdarbības atbalsta un inovāciju sistēma, uzņēmumu sadarbības tīkli (klasteri). Zemgalē tiek sekmēta sociālo uzņēmumu izveide un darbība, iesaistot sabiedrību sociālo problēmu risināšanā.</w:t>
            </w:r>
          </w:p>
        </w:tc>
        <w:tc>
          <w:tcPr>
            <w:tcW w:w="3420" w:type="dxa"/>
          </w:tcPr>
          <w:p w:rsidR="00572643" w:rsidRPr="0005016F" w:rsidRDefault="00572643" w:rsidP="00CA256D">
            <w:pPr>
              <w:spacing w:before="40" w:after="40"/>
              <w:rPr>
                <w:rFonts w:cstheme="minorHAnsi"/>
                <w:i/>
              </w:rPr>
            </w:pPr>
            <w:r w:rsidRPr="0005016F">
              <w:rPr>
                <w:rFonts w:cstheme="minorHAnsi"/>
                <w:i/>
              </w:rPr>
              <w:t>Nacionālas un reģionālas nozīmes attīstības centros un tiem pieguļošajās teritorijās darbojas alternatīvo degvielu ražotnes (piemēram, 2.paaudzes biodegviela, ūdeņradis, elektrības). Intensīvā lauksaimniecība ir avots biogāzes ražošanai. Uzņēmumi, pielietojot inovatīvas tehnoloģijas, nodrošina iegūtās biogāzes attīrīšanu līdz tādai pakāpei, lai to varētu izmantot transportlīdzekļos.</w:t>
            </w:r>
          </w:p>
          <w:p w:rsidR="00572643" w:rsidRPr="0005016F" w:rsidRDefault="00572643" w:rsidP="00CA256D">
            <w:pPr>
              <w:spacing w:before="40" w:after="40"/>
              <w:rPr>
                <w:rFonts w:cstheme="minorHAnsi"/>
                <w:i/>
              </w:rPr>
            </w:pPr>
          </w:p>
          <w:p w:rsidR="00572643" w:rsidRPr="0005016F" w:rsidRDefault="00572643" w:rsidP="00CA256D">
            <w:pPr>
              <w:spacing w:before="40" w:after="40"/>
              <w:rPr>
                <w:rFonts w:cstheme="minorHAnsi"/>
                <w:i/>
              </w:rPr>
            </w:pPr>
          </w:p>
        </w:tc>
      </w:tr>
      <w:tr w:rsidR="00572643" w:rsidTr="00786F64">
        <w:trPr>
          <w:trHeight w:val="3804"/>
        </w:trPr>
        <w:tc>
          <w:tcPr>
            <w:tcW w:w="1756" w:type="dxa"/>
          </w:tcPr>
          <w:p w:rsidR="00572643" w:rsidRDefault="00572643" w:rsidP="00CA256D">
            <w:pPr>
              <w:spacing w:before="40" w:after="40"/>
              <w:rPr>
                <w:rFonts w:cstheme="minorHAnsi"/>
              </w:rPr>
            </w:pPr>
            <w:r>
              <w:rPr>
                <w:rFonts w:cstheme="minorHAnsi"/>
              </w:rPr>
              <w:t>Sasniedzamība</w:t>
            </w:r>
          </w:p>
        </w:tc>
        <w:tc>
          <w:tcPr>
            <w:tcW w:w="3434" w:type="dxa"/>
          </w:tcPr>
          <w:p w:rsidR="00572643" w:rsidRDefault="00572643" w:rsidP="00CA256D">
            <w:pPr>
              <w:spacing w:before="40" w:after="40"/>
              <w:rPr>
                <w:rFonts w:cstheme="minorHAnsi"/>
              </w:rPr>
            </w:pPr>
            <w:r w:rsidRPr="00381926">
              <w:rPr>
                <w:rFonts w:cstheme="minorHAnsi"/>
              </w:rPr>
              <w:t>Reģions ir vienota darba – dzīves telpa ar kvalitatīvu, efektīvu un videi draudzīgu transporta sistēmu un infrastruktūru, kuras pamatu veido sabiedriskā transporta tīkli, kas nodrošina teritoriāli vienmērīgu sasniedzamību atbilstoši ikdienas mobilitātes prasībām. Gan publiskajā pārvaldē, gan saimnieciskajā darbībā tiek plaši izmantotas informācijas un komunikāciju tehnoloģijas.</w:t>
            </w:r>
          </w:p>
        </w:tc>
        <w:tc>
          <w:tcPr>
            <w:tcW w:w="3420" w:type="dxa"/>
          </w:tcPr>
          <w:p w:rsidR="00572643" w:rsidRPr="0005016F" w:rsidRDefault="00572643" w:rsidP="00CA256D">
            <w:pPr>
              <w:spacing w:before="40" w:after="40"/>
              <w:rPr>
                <w:rFonts w:cstheme="minorHAnsi"/>
                <w:i/>
              </w:rPr>
            </w:pPr>
            <w:r w:rsidRPr="0005016F">
              <w:rPr>
                <w:rFonts w:cstheme="minorHAnsi"/>
                <w:i/>
              </w:rPr>
              <w:t xml:space="preserve">Transporta sistēma un infrastruktūra ir izveidota ērtai alternatīvo degvielu uzpildei sabiedriskajos un privātajos transportlīdzekļos. Ieguldījumu sniedz arī mājsaimniecības, ražojot elektroenerģiju no atjaunojamā energoresursa – saules, izmantošanai elektriskajos transportlīdzekļos. </w:t>
            </w:r>
          </w:p>
          <w:p w:rsidR="00572643" w:rsidRPr="0005016F" w:rsidRDefault="00572643" w:rsidP="00CA256D">
            <w:pPr>
              <w:spacing w:before="40" w:after="40"/>
              <w:rPr>
                <w:rFonts w:cstheme="minorHAnsi"/>
                <w:i/>
              </w:rPr>
            </w:pPr>
          </w:p>
        </w:tc>
      </w:tr>
      <w:tr w:rsidR="00572643" w:rsidTr="00786F64">
        <w:trPr>
          <w:trHeight w:val="4384"/>
        </w:trPr>
        <w:tc>
          <w:tcPr>
            <w:tcW w:w="1756" w:type="dxa"/>
          </w:tcPr>
          <w:p w:rsidR="00572643" w:rsidRDefault="00572643" w:rsidP="00CA256D">
            <w:pPr>
              <w:spacing w:before="40" w:after="40"/>
              <w:rPr>
                <w:rFonts w:cstheme="minorHAnsi"/>
              </w:rPr>
            </w:pPr>
            <w:r>
              <w:rPr>
                <w:rFonts w:cstheme="minorHAnsi"/>
              </w:rPr>
              <w:t>Telpa</w:t>
            </w:r>
          </w:p>
        </w:tc>
        <w:tc>
          <w:tcPr>
            <w:tcW w:w="3434" w:type="dxa"/>
          </w:tcPr>
          <w:p w:rsidR="00572643" w:rsidRDefault="00572643" w:rsidP="00CA256D">
            <w:pPr>
              <w:spacing w:before="40" w:after="40"/>
              <w:rPr>
                <w:rFonts w:cstheme="minorHAnsi"/>
              </w:rPr>
            </w:pPr>
            <w:r w:rsidRPr="00381926">
              <w:rPr>
                <w:rFonts w:cstheme="minorHAnsi"/>
              </w:rPr>
              <w:t>Zemgali raksturo dabas un cilvēka darbības līdzsvars, specializēšanās un ilgtspējīga resursu izmantošana. Pilsētu un lauku attīstība un specializēšanās, mijiedarbība un partnerība nodrošina augstu dzīves kvalitāti visā Zemgales teritorijā. Zemgalei, kā reģionam Latvijas centrā, ir spēcīgas funkcionālas un telpiskas saites ar visiem pārējiem reģioniem. Pārrobežu teritorijās ar Lietuvu ir izveidota labvēlīga vide uzņēmējdarbības un pakalpojumu attīstībai.</w:t>
            </w:r>
          </w:p>
        </w:tc>
        <w:tc>
          <w:tcPr>
            <w:tcW w:w="3420" w:type="dxa"/>
          </w:tcPr>
          <w:p w:rsidR="00572643" w:rsidRPr="0005016F" w:rsidRDefault="00572643" w:rsidP="00CA256D">
            <w:pPr>
              <w:spacing w:before="40" w:after="40"/>
              <w:rPr>
                <w:rFonts w:cstheme="minorHAnsi"/>
                <w:i/>
              </w:rPr>
            </w:pPr>
            <w:r w:rsidRPr="0005016F">
              <w:rPr>
                <w:rFonts w:cstheme="minorHAnsi"/>
                <w:i/>
              </w:rPr>
              <w:t xml:space="preserve">Izveidots alternatīvo degvielu uzpildes staciju vienmērīgs pārklājums, nodrošinot, saites starp reģioniem, kas ietver arī atbilstošas infrastruktūras pieejamību. </w:t>
            </w:r>
          </w:p>
          <w:p w:rsidR="00572643" w:rsidRPr="0005016F" w:rsidRDefault="00572643" w:rsidP="00CA256D">
            <w:pPr>
              <w:spacing w:before="40" w:after="40"/>
              <w:rPr>
                <w:rFonts w:cstheme="minorHAnsi"/>
                <w:i/>
              </w:rPr>
            </w:pPr>
            <w:r w:rsidRPr="0005016F">
              <w:rPr>
                <w:rFonts w:cstheme="minorHAnsi"/>
                <w:i/>
              </w:rPr>
              <w:t>Alternatīvo degvielu resursu ražošana, pārstrādes iespējas un tālāka izmantošana transportlīdzekļos sekmē pilsētu un lauku līdzsvarotu attīstību un specializēšanos.</w:t>
            </w:r>
          </w:p>
          <w:p w:rsidR="00572643" w:rsidRPr="0005016F" w:rsidRDefault="00572643" w:rsidP="00CA256D">
            <w:pPr>
              <w:spacing w:before="40" w:after="40"/>
              <w:rPr>
                <w:rFonts w:cstheme="minorHAnsi"/>
                <w:i/>
              </w:rPr>
            </w:pPr>
          </w:p>
          <w:p w:rsidR="00572643" w:rsidRPr="0005016F" w:rsidRDefault="00572643" w:rsidP="00CA256D">
            <w:pPr>
              <w:spacing w:before="40" w:after="40"/>
              <w:rPr>
                <w:rFonts w:cstheme="minorHAnsi"/>
                <w:i/>
              </w:rPr>
            </w:pPr>
          </w:p>
        </w:tc>
      </w:tr>
    </w:tbl>
    <w:p w:rsidR="005F2045" w:rsidRDefault="005F2045" w:rsidP="00786F64">
      <w:pPr>
        <w:pStyle w:val="Footer"/>
        <w:rPr>
          <w:i/>
          <w:sz w:val="20"/>
        </w:rPr>
      </w:pPr>
    </w:p>
    <w:p w:rsidR="00786F64" w:rsidRPr="00EE01DE" w:rsidRDefault="00786F64" w:rsidP="00786F64">
      <w:pPr>
        <w:pStyle w:val="Footer"/>
        <w:rPr>
          <w:i/>
          <w:sz w:val="20"/>
        </w:rPr>
      </w:pPr>
      <w:r w:rsidRPr="00EE01DE">
        <w:rPr>
          <w:i/>
          <w:sz w:val="20"/>
        </w:rPr>
        <w:t xml:space="preserve">Projektu "Sistemātiska pieeja sabiedrisko institūciju apmācībai par enerģētisko, telpisko un sociālekonomisko ilgtspēju" (INTENSSS-PA) finansiāli atbalsta Eiropas Komisijas </w:t>
      </w:r>
      <w:r w:rsidR="00C27E68">
        <w:rPr>
          <w:i/>
          <w:sz w:val="20"/>
        </w:rPr>
        <w:t xml:space="preserve">programma </w:t>
      </w:r>
      <w:r w:rsidRPr="00EE01DE">
        <w:rPr>
          <w:i/>
          <w:sz w:val="20"/>
        </w:rPr>
        <w:t>Horizonts 2020</w:t>
      </w:r>
    </w:p>
    <w:p w:rsidR="00AC095D" w:rsidRDefault="00AC095D"/>
    <w:sectPr w:rsidR="00AC095D" w:rsidSect="00594E5B">
      <w:headerReference w:type="default" r:id="rId6"/>
      <w:pgSz w:w="11906" w:h="16838"/>
      <w:pgMar w:top="1440" w:right="1133" w:bottom="70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1A35" w:rsidRDefault="00B41A35" w:rsidP="00B41A35">
      <w:pPr>
        <w:spacing w:after="0" w:line="240" w:lineRule="auto"/>
      </w:pPr>
      <w:r>
        <w:separator/>
      </w:r>
    </w:p>
  </w:endnote>
  <w:endnote w:type="continuationSeparator" w:id="0">
    <w:p w:rsidR="00B41A35" w:rsidRDefault="00B41A35" w:rsidP="00B41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1A35" w:rsidRDefault="00B41A35" w:rsidP="00B41A35">
      <w:pPr>
        <w:spacing w:after="0" w:line="240" w:lineRule="auto"/>
      </w:pPr>
      <w:r>
        <w:separator/>
      </w:r>
    </w:p>
  </w:footnote>
  <w:footnote w:type="continuationSeparator" w:id="0">
    <w:p w:rsidR="00B41A35" w:rsidRDefault="00B41A35" w:rsidP="00B41A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A35" w:rsidRDefault="00B41A35" w:rsidP="00B41A35">
    <w:pPr>
      <w:pStyle w:val="Header"/>
      <w:tabs>
        <w:tab w:val="clear" w:pos="8306"/>
        <w:tab w:val="left" w:pos="7530"/>
      </w:tabs>
    </w:pPr>
    <w:r>
      <w:rPr>
        <w:noProof/>
      </w:rPr>
      <w:drawing>
        <wp:inline distT="0" distB="0" distL="0" distR="0" wp14:anchorId="3C0C6D25">
          <wp:extent cx="2266950" cy="68967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7890" cy="711257"/>
                  </a:xfrm>
                  <a:prstGeom prst="rect">
                    <a:avLst/>
                  </a:prstGeom>
                  <a:noFill/>
                </pic:spPr>
              </pic:pic>
            </a:graphicData>
          </a:graphic>
        </wp:inline>
      </w:drawing>
    </w:r>
    <w:r>
      <w:t xml:space="preserve">     </w:t>
    </w:r>
    <w:r>
      <w:rPr>
        <w:noProof/>
        <w:lang w:eastAsia="lv-LV"/>
      </w:rPr>
      <w:drawing>
        <wp:inline distT="0" distB="0" distL="0" distR="0" wp14:anchorId="542767C8" wp14:editId="06C5394E">
          <wp:extent cx="816606" cy="619125"/>
          <wp:effectExtent l="0" t="0" r="3175" b="0"/>
          <wp:docPr id="71" name="Picture 71" descr="horizon2020-pre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2020-prezi"/>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27024" cy="627024"/>
                  </a:xfrm>
                  <a:prstGeom prst="rect">
                    <a:avLst/>
                  </a:prstGeom>
                  <a:noFill/>
                  <a:ln>
                    <a:noFill/>
                  </a:ln>
                </pic:spPr>
              </pic:pic>
            </a:graphicData>
          </a:graphic>
        </wp:inline>
      </w:drawing>
    </w:r>
    <w:r>
      <w:t xml:space="preserve">       </w:t>
    </w:r>
    <w:r>
      <w:rPr>
        <w:noProof/>
        <w:lang w:eastAsia="lv-LV"/>
      </w:rPr>
      <w:drawing>
        <wp:inline distT="0" distB="0" distL="0" distR="0" wp14:anchorId="231EE3FF" wp14:editId="731D786A">
          <wp:extent cx="951718" cy="637750"/>
          <wp:effectExtent l="0" t="0" r="1270" b="0"/>
          <wp:docPr id="72" name="Picture 72" descr="Attēlu rezultāti vaicājumam “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ēlu rezultāti vaicājumam “eu fla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68002" cy="648662"/>
                  </a:xfrm>
                  <a:prstGeom prst="rect">
                    <a:avLst/>
                  </a:prstGeom>
                  <a:noFill/>
                  <a:ln>
                    <a:noFill/>
                  </a:ln>
                </pic:spPr>
              </pic:pic>
            </a:graphicData>
          </a:graphic>
        </wp:inline>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643"/>
    <w:rsid w:val="0005016F"/>
    <w:rsid w:val="00091700"/>
    <w:rsid w:val="001A35E9"/>
    <w:rsid w:val="002D0561"/>
    <w:rsid w:val="003D2BC8"/>
    <w:rsid w:val="004227FB"/>
    <w:rsid w:val="00492A32"/>
    <w:rsid w:val="00572643"/>
    <w:rsid w:val="00594E5B"/>
    <w:rsid w:val="005B09A2"/>
    <w:rsid w:val="005B3E20"/>
    <w:rsid w:val="005F2045"/>
    <w:rsid w:val="007821BB"/>
    <w:rsid w:val="00786F64"/>
    <w:rsid w:val="00876BF0"/>
    <w:rsid w:val="00A40947"/>
    <w:rsid w:val="00A82EEC"/>
    <w:rsid w:val="00A972AC"/>
    <w:rsid w:val="00AC095D"/>
    <w:rsid w:val="00B17E1F"/>
    <w:rsid w:val="00B41A35"/>
    <w:rsid w:val="00B75A98"/>
    <w:rsid w:val="00C27E68"/>
    <w:rsid w:val="00D32721"/>
    <w:rsid w:val="00DC59B7"/>
    <w:rsid w:val="00EA34B0"/>
    <w:rsid w:val="00ED7C56"/>
    <w:rsid w:val="00EE01DE"/>
    <w:rsid w:val="00F07E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41A8B1"/>
  <w15:chartTrackingRefBased/>
  <w15:docId w15:val="{1A8DB3C5-89DA-42BA-9CD7-86DA35F0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264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26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1A35"/>
    <w:pPr>
      <w:tabs>
        <w:tab w:val="center" w:pos="4153"/>
        <w:tab w:val="right" w:pos="8306"/>
      </w:tabs>
      <w:spacing w:after="0" w:line="240" w:lineRule="auto"/>
    </w:pPr>
  </w:style>
  <w:style w:type="character" w:customStyle="1" w:styleId="HeaderChar">
    <w:name w:val="Header Char"/>
    <w:basedOn w:val="DefaultParagraphFont"/>
    <w:link w:val="Header"/>
    <w:uiPriority w:val="99"/>
    <w:rsid w:val="00B41A35"/>
  </w:style>
  <w:style w:type="paragraph" w:styleId="Footer">
    <w:name w:val="footer"/>
    <w:basedOn w:val="Normal"/>
    <w:link w:val="FooterChar"/>
    <w:uiPriority w:val="99"/>
    <w:unhideWhenUsed/>
    <w:rsid w:val="00B41A35"/>
    <w:pPr>
      <w:tabs>
        <w:tab w:val="center" w:pos="4153"/>
        <w:tab w:val="right" w:pos="8306"/>
      </w:tabs>
      <w:spacing w:after="0" w:line="240" w:lineRule="auto"/>
    </w:pPr>
  </w:style>
  <w:style w:type="character" w:customStyle="1" w:styleId="FooterChar">
    <w:name w:val="Footer Char"/>
    <w:basedOn w:val="DefaultParagraphFont"/>
    <w:link w:val="Footer"/>
    <w:uiPriority w:val="99"/>
    <w:rsid w:val="00B41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2950</Words>
  <Characters>1682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Daina</dc:creator>
  <cp:keywords/>
  <dc:description/>
  <cp:lastModifiedBy>Daina</cp:lastModifiedBy>
  <cp:revision>26</cp:revision>
  <dcterms:created xsi:type="dcterms:W3CDTF">2018-01-30T14:00:00Z</dcterms:created>
  <dcterms:modified xsi:type="dcterms:W3CDTF">2018-02-05T13:36:00Z</dcterms:modified>
</cp:coreProperties>
</file>